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1983"/>
      </w:tblGrid>
      <w:tr w:rsidR="00777D49" w:rsidRPr="00B450E3" w14:paraId="7413E8D3" w14:textId="77777777" w:rsidTr="0069173E">
        <w:trPr>
          <w:trHeight w:val="1440"/>
        </w:trPr>
        <w:tc>
          <w:tcPr>
            <w:tcW w:w="9354" w:type="dxa"/>
            <w:gridSpan w:val="2"/>
          </w:tcPr>
          <w:p w14:paraId="30241A5B" w14:textId="6EF609FE" w:rsidR="00777D49" w:rsidRPr="006065A3" w:rsidRDefault="006B5AC8" w:rsidP="00C736E1">
            <w:pPr>
              <w:pStyle w:val="AISEDOCTITLE1"/>
              <w:spacing w:before="120"/>
              <w:rPr>
                <w:sz w:val="44"/>
                <w:szCs w:val="44"/>
              </w:rPr>
            </w:pPr>
            <w:r w:rsidRPr="006065A3">
              <w:rPr>
                <w:sz w:val="44"/>
                <w:szCs w:val="44"/>
              </w:rPr>
              <w:t>A.I.S.E.</w:t>
            </w:r>
            <w:r w:rsidR="003C496F">
              <w:rPr>
                <w:sz w:val="44"/>
                <w:szCs w:val="44"/>
              </w:rPr>
              <w:t xml:space="preserve"> TECHNICAL ADVOCACY POSITION </w:t>
            </w:r>
            <w:r w:rsidRPr="006065A3">
              <w:rPr>
                <w:sz w:val="44"/>
                <w:szCs w:val="44"/>
              </w:rPr>
              <w:t>ON</w:t>
            </w:r>
            <w:r w:rsidR="006065A3" w:rsidRPr="006065A3">
              <w:rPr>
                <w:sz w:val="44"/>
                <w:szCs w:val="44"/>
              </w:rPr>
              <w:t xml:space="preserve"> THE</w:t>
            </w:r>
            <w:r w:rsidRPr="006065A3">
              <w:rPr>
                <w:sz w:val="44"/>
                <w:szCs w:val="44"/>
              </w:rPr>
              <w:t xml:space="preserve"> </w:t>
            </w:r>
            <w:r w:rsidR="006065A3">
              <w:rPr>
                <w:sz w:val="44"/>
                <w:szCs w:val="44"/>
              </w:rPr>
              <w:t xml:space="preserve">PROPOSED </w:t>
            </w:r>
            <w:r w:rsidR="006065A3" w:rsidRPr="006065A3">
              <w:rPr>
                <w:sz w:val="44"/>
                <w:szCs w:val="44"/>
              </w:rPr>
              <w:t>RESTRICTION</w:t>
            </w:r>
            <w:r w:rsidR="006065A3">
              <w:rPr>
                <w:sz w:val="44"/>
                <w:szCs w:val="44"/>
              </w:rPr>
              <w:t xml:space="preserve"> ON</w:t>
            </w:r>
            <w:r w:rsidR="006065A3" w:rsidRPr="006065A3">
              <w:rPr>
                <w:sz w:val="44"/>
                <w:szCs w:val="44"/>
              </w:rPr>
              <w:t xml:space="preserve"> </w:t>
            </w:r>
            <w:r w:rsidR="00795F0B">
              <w:rPr>
                <w:sz w:val="44"/>
                <w:szCs w:val="44"/>
              </w:rPr>
              <w:t>synthetic polymer</w:t>
            </w:r>
            <w:r w:rsidR="003C496F">
              <w:rPr>
                <w:sz w:val="44"/>
                <w:szCs w:val="44"/>
              </w:rPr>
              <w:t xml:space="preserve"> </w:t>
            </w:r>
            <w:r w:rsidR="00795F0B" w:rsidRPr="006065A3">
              <w:rPr>
                <w:sz w:val="44"/>
                <w:szCs w:val="44"/>
              </w:rPr>
              <w:t>MICRO</w:t>
            </w:r>
            <w:r w:rsidR="00795F0B">
              <w:rPr>
                <w:sz w:val="44"/>
                <w:szCs w:val="44"/>
              </w:rPr>
              <w:t>particles</w:t>
            </w:r>
          </w:p>
        </w:tc>
      </w:tr>
      <w:tr w:rsidR="00777D49" w:rsidRPr="00B450E3" w14:paraId="082D6C65" w14:textId="77777777" w:rsidTr="0069173E">
        <w:tc>
          <w:tcPr>
            <w:tcW w:w="9354" w:type="dxa"/>
            <w:gridSpan w:val="2"/>
          </w:tcPr>
          <w:p w14:paraId="3AD7E9B4" w14:textId="77777777" w:rsidR="00777D49" w:rsidRPr="00B450E3" w:rsidRDefault="00777D49" w:rsidP="00777D49">
            <w:pPr>
              <w:spacing w:line="216" w:lineRule="auto"/>
              <w:jc w:val="left"/>
              <w:rPr>
                <w:rFonts w:ascii="Arial" w:eastAsiaTheme="minorEastAsia" w:hAnsi="Arial"/>
                <w:b/>
                <w:bCs/>
                <w:caps/>
                <w:color w:val="007576" w:themeColor="accent1"/>
                <w:sz w:val="10"/>
                <w:szCs w:val="48"/>
                <w:lang w:eastAsia="ja-JP"/>
              </w:rPr>
            </w:pPr>
          </w:p>
        </w:tc>
      </w:tr>
      <w:tr w:rsidR="00777D49" w:rsidRPr="00B450E3" w14:paraId="2E6E4791" w14:textId="77777777" w:rsidTr="00F16B23">
        <w:trPr>
          <w:trHeight w:val="327"/>
        </w:trPr>
        <w:tc>
          <w:tcPr>
            <w:tcW w:w="7371" w:type="dxa"/>
          </w:tcPr>
          <w:p w14:paraId="51A4158A" w14:textId="7C6CCC81" w:rsidR="00777D49" w:rsidRPr="0069173E" w:rsidRDefault="00777D49" w:rsidP="00C4522D">
            <w:pPr>
              <w:pStyle w:val="AISEDOCTITLE2"/>
              <w:rPr>
                <w:sz w:val="20"/>
                <w:szCs w:val="20"/>
              </w:rPr>
            </w:pPr>
          </w:p>
        </w:tc>
        <w:tc>
          <w:tcPr>
            <w:tcW w:w="1983" w:type="dxa"/>
            <w:vAlign w:val="bottom"/>
          </w:tcPr>
          <w:p w14:paraId="58862CB7" w14:textId="6FEA3FD2" w:rsidR="00777D49" w:rsidRPr="00B450E3" w:rsidRDefault="00F279E0" w:rsidP="00C736E1">
            <w:pPr>
              <w:jc w:val="right"/>
              <w:rPr>
                <w:rFonts w:eastAsiaTheme="minorEastAsia"/>
                <w:color w:val="007576" w:themeColor="accent1"/>
                <w:sz w:val="20"/>
                <w:szCs w:val="20"/>
              </w:rPr>
            </w:pPr>
            <w:r>
              <w:rPr>
                <w:rFonts w:eastAsiaTheme="minorEastAsia"/>
                <w:color w:val="007576" w:themeColor="accent1"/>
                <w:sz w:val="20"/>
                <w:szCs w:val="20"/>
              </w:rPr>
              <w:t xml:space="preserve">21 </w:t>
            </w:r>
            <w:r w:rsidR="008C7930">
              <w:rPr>
                <w:rFonts w:eastAsiaTheme="minorEastAsia"/>
                <w:color w:val="007576" w:themeColor="accent1"/>
                <w:sz w:val="20"/>
                <w:szCs w:val="20"/>
              </w:rPr>
              <w:t>October 2022</w:t>
            </w:r>
          </w:p>
        </w:tc>
      </w:tr>
    </w:tbl>
    <w:p w14:paraId="57BC4C68" w14:textId="177EB66C" w:rsidR="00097718" w:rsidRDefault="00C4522D" w:rsidP="007C4FFC">
      <w:pPr>
        <w:tabs>
          <w:tab w:val="right" w:leader="dot" w:pos="9354"/>
        </w:tabs>
        <w:spacing w:after="0"/>
        <w:rPr>
          <w:color w:val="A9C30C" w:themeColor="accent3"/>
        </w:rPr>
      </w:pPr>
      <w:r w:rsidRPr="00B450E3">
        <w:rPr>
          <w:color w:val="A9C30C" w:themeColor="accent3"/>
        </w:rPr>
        <w:tab/>
      </w:r>
    </w:p>
    <w:p w14:paraId="23C10A67" w14:textId="77777777" w:rsidR="007C4FFC" w:rsidRPr="007C4FFC" w:rsidRDefault="007C4FFC" w:rsidP="007C4FFC">
      <w:pPr>
        <w:autoSpaceDE w:val="0"/>
        <w:autoSpaceDN w:val="0"/>
        <w:adjustRightInd w:val="0"/>
        <w:spacing w:after="0" w:line="240" w:lineRule="auto"/>
        <w:jc w:val="left"/>
        <w:rPr>
          <w:rFonts w:ascii="Arial" w:hAnsi="Arial" w:cs="Arial"/>
          <w:color w:val="000000"/>
          <w:sz w:val="24"/>
          <w:szCs w:val="24"/>
        </w:rPr>
      </w:pPr>
    </w:p>
    <w:p w14:paraId="5695F0FC" w14:textId="19D90A03" w:rsidR="004A5CB3" w:rsidRDefault="007C4FFC" w:rsidP="007C4FFC">
      <w:pPr>
        <w:tabs>
          <w:tab w:val="right" w:leader="dot" w:pos="9354"/>
        </w:tabs>
        <w:rPr>
          <w:rFonts w:ascii="Arial" w:hAnsi="Arial" w:cs="Arial"/>
          <w:color w:val="000000"/>
        </w:rPr>
      </w:pPr>
      <w:r w:rsidRPr="007C4FFC">
        <w:rPr>
          <w:rFonts w:ascii="Arial" w:hAnsi="Arial" w:cs="Arial"/>
          <w:color w:val="000000"/>
        </w:rPr>
        <w:t>A.I.S.E. welcomes the work done in the context of the EU Plastic</w:t>
      </w:r>
      <w:r w:rsidR="009A7B01">
        <w:rPr>
          <w:rFonts w:ascii="Arial" w:hAnsi="Arial" w:cs="Arial"/>
          <w:color w:val="000000"/>
        </w:rPr>
        <w:t>s</w:t>
      </w:r>
      <w:r w:rsidRPr="007C4FFC">
        <w:rPr>
          <w:rFonts w:ascii="Arial" w:hAnsi="Arial" w:cs="Arial"/>
          <w:color w:val="000000"/>
        </w:rPr>
        <w:t xml:space="preserve"> </w:t>
      </w:r>
      <w:r w:rsidR="009A7B01">
        <w:rPr>
          <w:rFonts w:ascii="Arial" w:hAnsi="Arial" w:cs="Arial"/>
          <w:color w:val="000000"/>
        </w:rPr>
        <w:t>S</w:t>
      </w:r>
      <w:r w:rsidRPr="007C4FFC">
        <w:rPr>
          <w:rFonts w:ascii="Arial" w:hAnsi="Arial" w:cs="Arial"/>
          <w:color w:val="000000"/>
        </w:rPr>
        <w:t xml:space="preserve">trategy to address the issue of pollution of the marine environment posed by (micro)plastics. </w:t>
      </w:r>
      <w:r w:rsidR="00984966">
        <w:rPr>
          <w:rFonts w:ascii="Arial" w:hAnsi="Arial" w:cs="Arial"/>
          <w:color w:val="000000"/>
        </w:rPr>
        <w:t xml:space="preserve"> </w:t>
      </w:r>
      <w:r w:rsidRPr="007C4FFC">
        <w:rPr>
          <w:rFonts w:ascii="Arial" w:hAnsi="Arial" w:cs="Arial"/>
          <w:color w:val="000000"/>
        </w:rPr>
        <w:t>In this context, we believe that any action taken should fulfil three purposes:</w:t>
      </w:r>
    </w:p>
    <w:p w14:paraId="5BE82572" w14:textId="6274CC2D" w:rsidR="004A5CB3" w:rsidRPr="004A5CB3" w:rsidRDefault="003A7ED9" w:rsidP="004A5CB3">
      <w:pPr>
        <w:pStyle w:val="Liststycke"/>
        <w:numPr>
          <w:ilvl w:val="0"/>
          <w:numId w:val="20"/>
        </w:numPr>
        <w:tabs>
          <w:tab w:val="right" w:leader="dot" w:pos="9354"/>
        </w:tabs>
        <w:rPr>
          <w:rFonts w:ascii="Arial" w:hAnsi="Arial" w:cs="Arial"/>
          <w:color w:val="000000"/>
        </w:rPr>
      </w:pPr>
      <w:r w:rsidRPr="004A5CB3">
        <w:rPr>
          <w:rFonts w:ascii="Arial" w:hAnsi="Arial" w:cs="Arial"/>
          <w:color w:val="000000"/>
        </w:rPr>
        <w:t>ensure that any regulatory action taken is proportionate, effective and science-based</w:t>
      </w:r>
      <w:r w:rsidR="00AD014A" w:rsidRPr="004A5CB3">
        <w:rPr>
          <w:rFonts w:ascii="Arial" w:hAnsi="Arial" w:cs="Arial"/>
          <w:color w:val="000000"/>
        </w:rPr>
        <w:t>,</w:t>
      </w:r>
    </w:p>
    <w:p w14:paraId="76376F43" w14:textId="6372B9A2" w:rsidR="007F1132" w:rsidRDefault="007F1132" w:rsidP="004A5CB3">
      <w:pPr>
        <w:pStyle w:val="Liststycke"/>
        <w:numPr>
          <w:ilvl w:val="0"/>
          <w:numId w:val="20"/>
        </w:numPr>
        <w:tabs>
          <w:tab w:val="right" w:leader="dot" w:pos="9354"/>
        </w:tabs>
        <w:rPr>
          <w:rFonts w:ascii="Arial" w:hAnsi="Arial" w:cs="Arial"/>
          <w:color w:val="000000"/>
        </w:rPr>
      </w:pPr>
      <w:r w:rsidRPr="004A5CB3">
        <w:rPr>
          <w:rFonts w:ascii="Arial" w:hAnsi="Arial" w:cs="Arial"/>
          <w:color w:val="000000"/>
        </w:rPr>
        <w:t>promote action at EU-level to avoid a disparity of approach by Member States hindering the EU Single Market</w:t>
      </w:r>
      <w:r>
        <w:rPr>
          <w:rFonts w:ascii="Arial" w:hAnsi="Arial" w:cs="Arial"/>
          <w:color w:val="000000"/>
        </w:rPr>
        <w:t>, and</w:t>
      </w:r>
    </w:p>
    <w:p w14:paraId="69E53433" w14:textId="341281E3" w:rsidR="00D66921" w:rsidRPr="000D3986" w:rsidRDefault="00F64755" w:rsidP="007F1132">
      <w:pPr>
        <w:pStyle w:val="Liststycke"/>
        <w:numPr>
          <w:ilvl w:val="0"/>
          <w:numId w:val="20"/>
        </w:numPr>
        <w:tabs>
          <w:tab w:val="right" w:leader="dot" w:pos="9354"/>
        </w:tabs>
        <w:rPr>
          <w:rFonts w:ascii="Arial" w:hAnsi="Arial" w:cs="Arial"/>
          <w:color w:val="000000"/>
        </w:rPr>
      </w:pPr>
      <w:r w:rsidRPr="004A5CB3">
        <w:rPr>
          <w:rFonts w:ascii="Arial" w:hAnsi="Arial" w:cs="Arial"/>
          <w:color w:val="000000"/>
        </w:rPr>
        <w:t>align objectives and scope of action with other global jurisdictions</w:t>
      </w:r>
      <w:r w:rsidR="009E2188" w:rsidRPr="000D3986">
        <w:rPr>
          <w:rFonts w:ascii="Arial" w:hAnsi="Arial" w:cs="Arial"/>
          <w:color w:val="000000"/>
        </w:rPr>
        <w:t>.</w:t>
      </w:r>
    </w:p>
    <w:p w14:paraId="4D669BBD" w14:textId="3661DEE5" w:rsidR="005510E7" w:rsidRDefault="005510E7" w:rsidP="007C4FFC">
      <w:pPr>
        <w:tabs>
          <w:tab w:val="right" w:leader="dot" w:pos="9354"/>
        </w:tabs>
      </w:pPr>
      <w:r>
        <w:t xml:space="preserve">A.I.S.E. has been a committed supporter of the scientific process initiated by the European Commission through the European Chemicals Agency (ECHA). </w:t>
      </w:r>
      <w:r w:rsidR="00984966">
        <w:t xml:space="preserve"> </w:t>
      </w:r>
      <w:r>
        <w:t xml:space="preserve">This commitment </w:t>
      </w:r>
      <w:r w:rsidR="004B4ADD">
        <w:t>has included t</w:t>
      </w:r>
      <w:r>
        <w:t xml:space="preserve">he submission of several contributions </w:t>
      </w:r>
      <w:r w:rsidR="004368B3">
        <w:t xml:space="preserve">to </w:t>
      </w:r>
      <w:r w:rsidR="00C41FC9">
        <w:t xml:space="preserve">calls for evidence and </w:t>
      </w:r>
      <w:r w:rsidR="00FA6464">
        <w:t>public consultations</w:t>
      </w:r>
      <w:r>
        <w:t>.</w:t>
      </w:r>
    </w:p>
    <w:p w14:paraId="5AF8B7AD" w14:textId="268A3390" w:rsidR="00F26A7D" w:rsidRDefault="00486599" w:rsidP="00CD41BF">
      <w:pPr>
        <w:tabs>
          <w:tab w:val="right" w:leader="dot" w:pos="9354"/>
        </w:tabs>
        <w:spacing w:after="0"/>
      </w:pPr>
      <w:r>
        <w:t>A.I.S.E. re</w:t>
      </w:r>
      <w:r w:rsidR="00470478">
        <w:t>-</w:t>
      </w:r>
      <w:r>
        <w:t xml:space="preserve">emphasises that any restriction </w:t>
      </w:r>
      <w:r w:rsidR="00470478">
        <w:t xml:space="preserve">adopted </w:t>
      </w:r>
      <w:r>
        <w:t xml:space="preserve">under REACH </w:t>
      </w:r>
      <w:r w:rsidR="00470478">
        <w:t>should</w:t>
      </w:r>
      <w:r>
        <w:t xml:space="preserve"> be risk-based and scientifically justified.</w:t>
      </w:r>
      <w:r w:rsidR="00CA2192">
        <w:t xml:space="preserve">  The proposed restriction on </w:t>
      </w:r>
      <w:proofErr w:type="gramStart"/>
      <w:r w:rsidR="00CA2192">
        <w:t>intentionally-added</w:t>
      </w:r>
      <w:proofErr w:type="gramEnd"/>
      <w:r w:rsidR="00CA2192">
        <w:t xml:space="preserve"> microplastics </w:t>
      </w:r>
      <w:r w:rsidR="00C26209">
        <w:t>is exceptional</w:t>
      </w:r>
      <w:r w:rsidR="00CB6BBE">
        <w:t xml:space="preserve"> </w:t>
      </w:r>
      <w:r w:rsidR="00C26209">
        <w:t>in the breadth of its scope</w:t>
      </w:r>
      <w:r w:rsidR="00CB6BBE">
        <w:t xml:space="preserve"> and </w:t>
      </w:r>
      <w:r w:rsidR="00304524">
        <w:t xml:space="preserve">A.I.S.E. believes that it must </w:t>
      </w:r>
      <w:r w:rsidR="00CB6BBE">
        <w:t>not set a p</w:t>
      </w:r>
      <w:r w:rsidR="00C74970">
        <w:t xml:space="preserve">recedent </w:t>
      </w:r>
      <w:r w:rsidR="007B3076">
        <w:t>for future</w:t>
      </w:r>
      <w:r w:rsidR="00C74970">
        <w:t xml:space="preserve"> restrictions</w:t>
      </w:r>
      <w:r w:rsidR="00615413">
        <w:t>.</w:t>
      </w:r>
      <w:r w:rsidR="007B3076">
        <w:t xml:space="preserve"> </w:t>
      </w:r>
      <w:r w:rsidR="00C26209">
        <w:t xml:space="preserve"> </w:t>
      </w:r>
      <w:proofErr w:type="gramStart"/>
      <w:r w:rsidR="00304524">
        <w:t xml:space="preserve">This being said, </w:t>
      </w:r>
      <w:r w:rsidR="00CF028F">
        <w:t>A.I.S.E</w:t>
      </w:r>
      <w:r w:rsidR="00706A1D">
        <w:t>.</w:t>
      </w:r>
      <w:proofErr w:type="gramEnd"/>
      <w:r w:rsidR="00706A1D">
        <w:t xml:space="preserve"> supports </w:t>
      </w:r>
      <w:r w:rsidR="00615413">
        <w:t xml:space="preserve">some </w:t>
      </w:r>
      <w:r w:rsidR="00706A1D">
        <w:t xml:space="preserve">aspects of </w:t>
      </w:r>
      <w:r w:rsidR="008E3C85" w:rsidRPr="008E3C85">
        <w:t>th</w:t>
      </w:r>
      <w:r w:rsidR="008E3C85">
        <w:t>e proposed restriction</w:t>
      </w:r>
      <w:r w:rsidR="00B41BD0">
        <w:t xml:space="preserve">, </w:t>
      </w:r>
      <w:r w:rsidR="004433CA">
        <w:t xml:space="preserve">as </w:t>
      </w:r>
      <w:r w:rsidR="00794A54">
        <w:t xml:space="preserve">set out in the </w:t>
      </w:r>
      <w:r w:rsidR="00F658A8">
        <w:t>draft</w:t>
      </w:r>
      <w:r w:rsidR="009D6EA2">
        <w:t xml:space="preserve"> Commission Regulation</w:t>
      </w:r>
      <w:r w:rsidR="007A1902">
        <w:t xml:space="preserve"> </w:t>
      </w:r>
      <w:r w:rsidR="00B13A56">
        <w:t xml:space="preserve">and its Annex </w:t>
      </w:r>
      <w:r w:rsidR="00BE1C4A">
        <w:t xml:space="preserve">dated </w:t>
      </w:r>
      <w:r w:rsidR="00086993">
        <w:t>11 October 2022</w:t>
      </w:r>
      <w:r w:rsidR="00C05E9A">
        <w:rPr>
          <w:rStyle w:val="Fotnotsreferens"/>
        </w:rPr>
        <w:footnoteReference w:id="1"/>
      </w:r>
      <w:r w:rsidR="00BE1C4A">
        <w:t xml:space="preserve">, whilst </w:t>
      </w:r>
      <w:r w:rsidR="00C039F2">
        <w:t xml:space="preserve">some elements </w:t>
      </w:r>
      <w:r w:rsidR="00D6732A">
        <w:t>remain</w:t>
      </w:r>
      <w:r w:rsidR="005271E0">
        <w:t xml:space="preserve"> </w:t>
      </w:r>
      <w:r w:rsidR="00122251">
        <w:t>subject to</w:t>
      </w:r>
      <w:r w:rsidR="00D6732A">
        <w:t xml:space="preserve"> </w:t>
      </w:r>
      <w:r w:rsidR="00456A60">
        <w:t>clarification</w:t>
      </w:r>
      <w:r w:rsidR="00D6732A">
        <w:t xml:space="preserve">. </w:t>
      </w:r>
      <w:r w:rsidR="007D0340">
        <w:t xml:space="preserve"> </w:t>
      </w:r>
      <w:r w:rsidR="00CF028F" w:rsidRPr="008E3C85">
        <w:t>A.I.S.E.’s</w:t>
      </w:r>
      <w:r w:rsidR="00CF028F">
        <w:t xml:space="preserve"> </w:t>
      </w:r>
      <w:r w:rsidR="00CF028F" w:rsidRPr="008E3C85">
        <w:t xml:space="preserve">position </w:t>
      </w:r>
      <w:r w:rsidR="00D6732A">
        <w:t xml:space="preserve">on the restriction proposal </w:t>
      </w:r>
      <w:r w:rsidR="007D0340">
        <w:t>can be summarised as follows.</w:t>
      </w:r>
      <w:r w:rsidR="00945558">
        <w:t xml:space="preserve"> </w:t>
      </w:r>
    </w:p>
    <w:p w14:paraId="5939EB6E" w14:textId="77777777" w:rsidR="000C3C53" w:rsidRDefault="000C3C53" w:rsidP="00D35C67">
      <w:pPr>
        <w:tabs>
          <w:tab w:val="right" w:leader="dot" w:pos="9354"/>
        </w:tabs>
        <w:spacing w:after="0"/>
      </w:pPr>
    </w:p>
    <w:p w14:paraId="400AB7A3" w14:textId="71E335BF" w:rsidR="00245CEE" w:rsidRPr="008855FE" w:rsidRDefault="008855FE" w:rsidP="007C4FFC">
      <w:pPr>
        <w:tabs>
          <w:tab w:val="right" w:leader="dot" w:pos="9354"/>
        </w:tabs>
        <w:rPr>
          <w:rFonts w:ascii="Arial" w:hAnsi="Arial" w:cs="Arial"/>
          <w:b/>
          <w:bCs/>
          <w:color w:val="000000"/>
        </w:rPr>
      </w:pPr>
      <w:r>
        <w:rPr>
          <w:b/>
          <w:bCs/>
        </w:rPr>
        <w:t xml:space="preserve">1. </w:t>
      </w:r>
      <w:r w:rsidR="000C3C53">
        <w:rPr>
          <w:b/>
          <w:bCs/>
        </w:rPr>
        <w:t>Scope and definition</w:t>
      </w:r>
    </w:p>
    <w:p w14:paraId="41591626" w14:textId="77D82841" w:rsidR="00E523B2" w:rsidRDefault="007D0340" w:rsidP="008E2E87">
      <w:pPr>
        <w:pStyle w:val="Default"/>
        <w:spacing w:line="276" w:lineRule="auto"/>
        <w:jc w:val="both"/>
        <w:rPr>
          <w:sz w:val="22"/>
          <w:szCs w:val="22"/>
        </w:rPr>
      </w:pPr>
      <w:r w:rsidRPr="008A3450">
        <w:rPr>
          <w:sz w:val="22"/>
          <w:szCs w:val="22"/>
        </w:rPr>
        <w:t xml:space="preserve">It is important that the </w:t>
      </w:r>
      <w:r w:rsidR="00D148B2" w:rsidRPr="008A3450">
        <w:rPr>
          <w:sz w:val="22"/>
          <w:szCs w:val="22"/>
        </w:rPr>
        <w:t xml:space="preserve">definition </w:t>
      </w:r>
      <w:r w:rsidR="00507556" w:rsidRPr="008A3450">
        <w:rPr>
          <w:sz w:val="22"/>
          <w:szCs w:val="22"/>
        </w:rPr>
        <w:t xml:space="preserve">used in the restriction </w:t>
      </w:r>
      <w:r w:rsidR="0064646C" w:rsidRPr="008A3450">
        <w:rPr>
          <w:sz w:val="22"/>
          <w:szCs w:val="22"/>
        </w:rPr>
        <w:t>addresses</w:t>
      </w:r>
      <w:r w:rsidR="00BC230B" w:rsidRPr="008A3450">
        <w:rPr>
          <w:sz w:val="22"/>
          <w:szCs w:val="22"/>
        </w:rPr>
        <w:t xml:space="preserve"> the </w:t>
      </w:r>
      <w:r w:rsidR="00507556" w:rsidRPr="008A3450">
        <w:rPr>
          <w:sz w:val="22"/>
          <w:szCs w:val="22"/>
        </w:rPr>
        <w:t xml:space="preserve">actual concern for the environment.  </w:t>
      </w:r>
      <w:r w:rsidR="007817AE" w:rsidRPr="008A3450">
        <w:rPr>
          <w:sz w:val="22"/>
          <w:szCs w:val="22"/>
        </w:rPr>
        <w:t xml:space="preserve">A.I.S.E. </w:t>
      </w:r>
      <w:r w:rsidR="00424E4C">
        <w:rPr>
          <w:sz w:val="22"/>
          <w:szCs w:val="22"/>
        </w:rPr>
        <w:t xml:space="preserve">therefore </w:t>
      </w:r>
      <w:r w:rsidR="008E2E87">
        <w:rPr>
          <w:sz w:val="22"/>
          <w:szCs w:val="22"/>
        </w:rPr>
        <w:t xml:space="preserve">welcomes </w:t>
      </w:r>
      <w:r w:rsidR="009F353D">
        <w:rPr>
          <w:sz w:val="22"/>
          <w:szCs w:val="22"/>
        </w:rPr>
        <w:t xml:space="preserve">the </w:t>
      </w:r>
      <w:r w:rsidR="009A6884">
        <w:rPr>
          <w:sz w:val="22"/>
          <w:szCs w:val="22"/>
        </w:rPr>
        <w:t xml:space="preserve">definition </w:t>
      </w:r>
      <w:r w:rsidR="0032206C">
        <w:rPr>
          <w:sz w:val="22"/>
          <w:szCs w:val="22"/>
        </w:rPr>
        <w:t>of “synthetic polymer microparticles</w:t>
      </w:r>
      <w:r w:rsidR="00000CF7">
        <w:rPr>
          <w:sz w:val="22"/>
          <w:szCs w:val="22"/>
        </w:rPr>
        <w:t>”</w:t>
      </w:r>
      <w:r w:rsidR="0032206C">
        <w:rPr>
          <w:sz w:val="22"/>
          <w:szCs w:val="22"/>
        </w:rPr>
        <w:t xml:space="preserve"> </w:t>
      </w:r>
      <w:r w:rsidR="009A6884">
        <w:rPr>
          <w:sz w:val="22"/>
          <w:szCs w:val="22"/>
        </w:rPr>
        <w:t xml:space="preserve">contained in </w:t>
      </w:r>
      <w:r w:rsidR="00085C73">
        <w:rPr>
          <w:sz w:val="22"/>
          <w:szCs w:val="22"/>
        </w:rPr>
        <w:t xml:space="preserve">the </w:t>
      </w:r>
      <w:r w:rsidR="00F104F4">
        <w:rPr>
          <w:sz w:val="22"/>
          <w:szCs w:val="22"/>
        </w:rPr>
        <w:t xml:space="preserve">proposed </w:t>
      </w:r>
      <w:r w:rsidR="00085C73">
        <w:rPr>
          <w:sz w:val="22"/>
          <w:szCs w:val="22"/>
        </w:rPr>
        <w:t>entry</w:t>
      </w:r>
      <w:r w:rsidR="00490C40">
        <w:rPr>
          <w:sz w:val="22"/>
          <w:szCs w:val="22"/>
        </w:rPr>
        <w:t xml:space="preserve">, which – by </w:t>
      </w:r>
      <w:r w:rsidR="007146EB" w:rsidRPr="008A3450">
        <w:rPr>
          <w:sz w:val="22"/>
          <w:szCs w:val="22"/>
        </w:rPr>
        <w:t>specif</w:t>
      </w:r>
      <w:r w:rsidR="00490C40">
        <w:rPr>
          <w:sz w:val="22"/>
          <w:szCs w:val="22"/>
        </w:rPr>
        <w:t xml:space="preserve">ying </w:t>
      </w:r>
      <w:r w:rsidR="007146EB" w:rsidRPr="008A3450">
        <w:rPr>
          <w:sz w:val="22"/>
          <w:szCs w:val="22"/>
        </w:rPr>
        <w:t>‘</w:t>
      </w:r>
      <w:r w:rsidR="007146EB" w:rsidRPr="008A3450">
        <w:rPr>
          <w:b/>
          <w:bCs/>
          <w:sz w:val="22"/>
          <w:szCs w:val="22"/>
        </w:rPr>
        <w:t>polymer</w:t>
      </w:r>
      <w:r w:rsidR="00085C73">
        <w:rPr>
          <w:b/>
          <w:bCs/>
          <w:sz w:val="22"/>
          <w:szCs w:val="22"/>
        </w:rPr>
        <w:t>s that are solid</w:t>
      </w:r>
      <w:r w:rsidR="003F1690">
        <w:rPr>
          <w:b/>
          <w:bCs/>
          <w:sz w:val="22"/>
          <w:szCs w:val="22"/>
        </w:rPr>
        <w:t xml:space="preserve"> and which … are contained in particles</w:t>
      </w:r>
      <w:r w:rsidR="00FD058B">
        <w:rPr>
          <w:b/>
          <w:bCs/>
          <w:sz w:val="22"/>
          <w:szCs w:val="22"/>
        </w:rPr>
        <w:t xml:space="preserve"> … </w:t>
      </w:r>
      <w:r w:rsidR="00233F1F">
        <w:rPr>
          <w:b/>
          <w:bCs/>
          <w:sz w:val="22"/>
          <w:szCs w:val="22"/>
        </w:rPr>
        <w:t>or build a continuous surface coating on particles</w:t>
      </w:r>
      <w:r w:rsidR="007146EB" w:rsidRPr="008A3450">
        <w:rPr>
          <w:sz w:val="22"/>
          <w:szCs w:val="22"/>
        </w:rPr>
        <w:t xml:space="preserve">’ </w:t>
      </w:r>
      <w:r w:rsidR="00490C40">
        <w:rPr>
          <w:sz w:val="22"/>
          <w:szCs w:val="22"/>
        </w:rPr>
        <w:t xml:space="preserve">– reflects </w:t>
      </w:r>
      <w:r w:rsidR="00EC5480" w:rsidRPr="008A3450">
        <w:rPr>
          <w:sz w:val="22"/>
          <w:szCs w:val="22"/>
        </w:rPr>
        <w:t xml:space="preserve">the original intent of the </w:t>
      </w:r>
      <w:r w:rsidR="00FC6F99" w:rsidRPr="008A3450">
        <w:rPr>
          <w:sz w:val="22"/>
          <w:szCs w:val="22"/>
        </w:rPr>
        <w:t>restriction</w:t>
      </w:r>
      <w:r w:rsidR="00E04BAD">
        <w:rPr>
          <w:sz w:val="22"/>
          <w:szCs w:val="22"/>
        </w:rPr>
        <w:t xml:space="preserve">, namely </w:t>
      </w:r>
      <w:r w:rsidR="00AE03D6" w:rsidRPr="008A3450">
        <w:rPr>
          <w:sz w:val="22"/>
          <w:szCs w:val="22"/>
        </w:rPr>
        <w:t>“</w:t>
      </w:r>
      <w:r w:rsidR="00AE03D6" w:rsidRPr="008A3450">
        <w:rPr>
          <w:i/>
          <w:iCs/>
          <w:sz w:val="22"/>
          <w:szCs w:val="22"/>
        </w:rPr>
        <w:t>not to regulate the use of polymers generally, but only where they meet the specific conditions that identify them as being microplastics”</w:t>
      </w:r>
      <w:r w:rsidR="00B04868" w:rsidRPr="008A3450">
        <w:rPr>
          <w:rStyle w:val="Fotnotsreferens"/>
          <w:i/>
          <w:iCs/>
          <w:sz w:val="22"/>
          <w:szCs w:val="22"/>
        </w:rPr>
        <w:footnoteReference w:id="2"/>
      </w:r>
      <w:r w:rsidR="00E04BAD">
        <w:rPr>
          <w:i/>
          <w:iCs/>
          <w:sz w:val="22"/>
          <w:szCs w:val="22"/>
        </w:rPr>
        <w:t xml:space="preserve">. </w:t>
      </w:r>
      <w:r w:rsidR="00E04BAD">
        <w:rPr>
          <w:i/>
          <w:iCs/>
          <w:sz w:val="22"/>
          <w:szCs w:val="22"/>
        </w:rPr>
        <w:tab/>
      </w:r>
    </w:p>
    <w:p w14:paraId="32A97002" w14:textId="557A9A2D" w:rsidR="00730097" w:rsidRDefault="00A84EF7" w:rsidP="00730097">
      <w:pPr>
        <w:tabs>
          <w:tab w:val="right" w:leader="dot" w:pos="9354"/>
        </w:tabs>
        <w:spacing w:before="120"/>
      </w:pPr>
      <w:r>
        <w:t xml:space="preserve">A.I.S.E. </w:t>
      </w:r>
      <w:r w:rsidR="00762702">
        <w:t>recognises</w:t>
      </w:r>
      <w:r>
        <w:t xml:space="preserve"> that </w:t>
      </w:r>
      <w:r w:rsidR="00762702">
        <w:t xml:space="preserve">it will be difficult for economic operators </w:t>
      </w:r>
      <w:r w:rsidR="006903A6">
        <w:t xml:space="preserve">to </w:t>
      </w:r>
      <w:r w:rsidR="00D03846">
        <w:t>confirm</w:t>
      </w:r>
      <w:r w:rsidR="006903A6">
        <w:t xml:space="preserve">, </w:t>
      </w:r>
      <w:r w:rsidR="00762702">
        <w:t xml:space="preserve">and for authorities </w:t>
      </w:r>
      <w:r w:rsidR="00A23EE0">
        <w:t xml:space="preserve">to </w:t>
      </w:r>
      <w:r w:rsidR="00762702">
        <w:t>enforce</w:t>
      </w:r>
      <w:r w:rsidR="00D03846">
        <w:t>,</w:t>
      </w:r>
      <w:r w:rsidR="00A23EE0">
        <w:t xml:space="preserve"> compliance </w:t>
      </w:r>
      <w:r w:rsidR="00D03846">
        <w:t xml:space="preserve">with the restriction </w:t>
      </w:r>
      <w:r w:rsidR="00A23EE0">
        <w:t xml:space="preserve">due to </w:t>
      </w:r>
      <w:r>
        <w:t>a l</w:t>
      </w:r>
      <w:r w:rsidR="00730097">
        <w:t xml:space="preserve">ack of harmonised </w:t>
      </w:r>
      <w:r w:rsidR="00730097" w:rsidRPr="00730097">
        <w:rPr>
          <w:b/>
          <w:bCs/>
        </w:rPr>
        <w:t>methods for determination and analysis</w:t>
      </w:r>
      <w:r w:rsidR="00730097">
        <w:t xml:space="preserve"> of </w:t>
      </w:r>
      <w:r w:rsidR="00031C92">
        <w:t xml:space="preserve">synthetic polymeric </w:t>
      </w:r>
      <w:r w:rsidR="00730097">
        <w:t>microp</w:t>
      </w:r>
      <w:r w:rsidR="00031C92">
        <w:t>articles</w:t>
      </w:r>
      <w:r w:rsidR="0025472B">
        <w:rPr>
          <w:rStyle w:val="Fotnotsreferens"/>
        </w:rPr>
        <w:footnoteReference w:id="3"/>
      </w:r>
      <w:r w:rsidR="00D03846">
        <w:t xml:space="preserve">.  A.I.S.E. calls for </w:t>
      </w:r>
      <w:r w:rsidR="00BA4BB9">
        <w:t>priority to be given</w:t>
      </w:r>
      <w:r w:rsidR="008E522F">
        <w:t xml:space="preserve"> to</w:t>
      </w:r>
      <w:r w:rsidR="00BA4BB9">
        <w:t xml:space="preserve"> research </w:t>
      </w:r>
      <w:r w:rsidR="007B65FF">
        <w:t>in order to establish</w:t>
      </w:r>
      <w:r w:rsidR="00BA4BB9">
        <w:t xml:space="preserve"> such methods</w:t>
      </w:r>
      <w:r w:rsidR="008E522F">
        <w:t xml:space="preserve">, </w:t>
      </w:r>
      <w:r w:rsidR="00BA4BB9">
        <w:t xml:space="preserve">and </w:t>
      </w:r>
      <w:r w:rsidR="004A45DA">
        <w:t xml:space="preserve">for </w:t>
      </w:r>
      <w:r w:rsidR="00BA4BB9">
        <w:t>the r</w:t>
      </w:r>
      <w:r w:rsidR="00730097">
        <w:t xml:space="preserve">estriction </w:t>
      </w:r>
      <w:r w:rsidR="004A45DA">
        <w:t xml:space="preserve">to </w:t>
      </w:r>
      <w:r w:rsidR="00730097">
        <w:t>be reviewed and revised</w:t>
      </w:r>
      <w:r w:rsidR="007B65FF">
        <w:t xml:space="preserve"> </w:t>
      </w:r>
      <w:r w:rsidR="004A45DA">
        <w:t>as appropriate</w:t>
      </w:r>
      <w:r w:rsidR="00730097">
        <w:t xml:space="preserve"> in light of technical progress</w:t>
      </w:r>
      <w:r w:rsidR="008E522F">
        <w:t xml:space="preserve">, </w:t>
      </w:r>
      <w:proofErr w:type="gramStart"/>
      <w:r w:rsidR="008E522F">
        <w:t>e.g.</w:t>
      </w:r>
      <w:proofErr w:type="gramEnd"/>
      <w:r w:rsidR="008E522F">
        <w:t xml:space="preserve"> </w:t>
      </w:r>
      <w:r w:rsidR="00C2476C">
        <w:t>five years after entry into force</w:t>
      </w:r>
      <w:r w:rsidR="00730097">
        <w:t xml:space="preserve">. </w:t>
      </w:r>
    </w:p>
    <w:p w14:paraId="0D646289" w14:textId="44C7FC96" w:rsidR="00007FE6" w:rsidRPr="00007FE6" w:rsidRDefault="002E0DD4" w:rsidP="008E2E87">
      <w:pPr>
        <w:pStyle w:val="Default"/>
        <w:spacing w:line="276" w:lineRule="auto"/>
        <w:jc w:val="both"/>
        <w:rPr>
          <w:b/>
          <w:bCs/>
          <w:sz w:val="22"/>
          <w:szCs w:val="22"/>
        </w:rPr>
      </w:pPr>
      <w:r>
        <w:rPr>
          <w:b/>
          <w:bCs/>
          <w:sz w:val="22"/>
          <w:szCs w:val="22"/>
        </w:rPr>
        <w:lastRenderedPageBreak/>
        <w:br/>
      </w:r>
      <w:r w:rsidR="00007FE6">
        <w:rPr>
          <w:b/>
          <w:bCs/>
          <w:sz w:val="22"/>
          <w:szCs w:val="22"/>
        </w:rPr>
        <w:t>2. Transition periods</w:t>
      </w:r>
    </w:p>
    <w:p w14:paraId="3E24B998" w14:textId="58D23FC5" w:rsidR="00007FE6" w:rsidRDefault="00007FE6" w:rsidP="00007FE6">
      <w:pPr>
        <w:tabs>
          <w:tab w:val="right" w:leader="dot" w:pos="9354"/>
        </w:tabs>
        <w:spacing w:before="120"/>
      </w:pPr>
      <w:r>
        <w:t>A</w:t>
      </w:r>
      <w:r w:rsidR="00CF028F">
        <w:t xml:space="preserve">.I.S.E. </w:t>
      </w:r>
      <w:r w:rsidR="0030075F">
        <w:t xml:space="preserve">welcomes the proposed </w:t>
      </w:r>
      <w:r>
        <w:t xml:space="preserve">transition period of </w:t>
      </w:r>
      <w:r w:rsidR="002B3C2D" w:rsidRPr="002B3C2D">
        <w:rPr>
          <w:b/>
          <w:bCs/>
        </w:rPr>
        <w:t>six</w:t>
      </w:r>
      <w:r w:rsidRPr="00007FE6">
        <w:rPr>
          <w:b/>
          <w:bCs/>
        </w:rPr>
        <w:t xml:space="preserve"> years</w:t>
      </w:r>
      <w:r>
        <w:t xml:space="preserve"> </w:t>
      </w:r>
      <w:r w:rsidR="0047153C">
        <w:t xml:space="preserve">from entry into force of the restriction </w:t>
      </w:r>
      <w:r>
        <w:t xml:space="preserve">for </w:t>
      </w:r>
      <w:r w:rsidRPr="00007FE6">
        <w:rPr>
          <w:b/>
          <w:bCs/>
        </w:rPr>
        <w:t xml:space="preserve">encapsulated </w:t>
      </w:r>
      <w:proofErr w:type="gramStart"/>
      <w:r w:rsidRPr="00007FE6">
        <w:rPr>
          <w:b/>
          <w:bCs/>
        </w:rPr>
        <w:t>fragrances</w:t>
      </w:r>
      <w:r w:rsidR="00163F57">
        <w:t>, but</w:t>
      </w:r>
      <w:proofErr w:type="gramEnd"/>
      <w:r w:rsidR="00163F57">
        <w:t xml:space="preserve"> emphasises that this is a bare minimum</w:t>
      </w:r>
      <w:r>
        <w:t xml:space="preserve">.  There is a lack of suitable alternatives not meeting the microplastic definition, and this period is </w:t>
      </w:r>
      <w:r w:rsidR="007A560A">
        <w:t xml:space="preserve">needed </w:t>
      </w:r>
      <w:r>
        <w:t>to enable sufficient time for research</w:t>
      </w:r>
      <w:r w:rsidR="00C21355">
        <w:t xml:space="preserve">, </w:t>
      </w:r>
      <w:proofErr w:type="gramStart"/>
      <w:r w:rsidR="00C21355">
        <w:t>development</w:t>
      </w:r>
      <w:proofErr w:type="gramEnd"/>
      <w:r>
        <w:t xml:space="preserve"> and testing of potential alternatives in order to avoid negative impacts on the environment and on customer satisfaction (triggering changes in consumer behaviour such as more frequent washing, leading to increased water and energy consumption and increased unintentional releases of microplastics from textiles).</w:t>
      </w:r>
      <w:r w:rsidR="00FE1761">
        <w:t xml:space="preserve">  </w:t>
      </w:r>
      <w:r w:rsidR="00F060B4">
        <w:t>A</w:t>
      </w:r>
      <w:r w:rsidR="00FE1761">
        <w:t xml:space="preserve">.I.S.E. </w:t>
      </w:r>
      <w:r w:rsidR="009B236C">
        <w:t>considers a</w:t>
      </w:r>
      <w:r w:rsidR="00F060B4">
        <w:t xml:space="preserve"> review </w:t>
      </w:r>
      <w:r w:rsidR="004D31BE">
        <w:t>of the restriction</w:t>
      </w:r>
      <w:r w:rsidR="002D3ECE">
        <w:t xml:space="preserve"> </w:t>
      </w:r>
      <w:r w:rsidR="00984756">
        <w:t>(</w:t>
      </w:r>
      <w:proofErr w:type="gramStart"/>
      <w:r w:rsidR="00984756">
        <w:t>e.g.</w:t>
      </w:r>
      <w:proofErr w:type="gramEnd"/>
      <w:r w:rsidR="00984756">
        <w:t xml:space="preserve"> five years</w:t>
      </w:r>
      <w:r w:rsidR="000D2312">
        <w:t xml:space="preserve"> after entry into force</w:t>
      </w:r>
      <w:r w:rsidR="00984756">
        <w:t>)</w:t>
      </w:r>
      <w:r w:rsidR="00F060B4">
        <w:t xml:space="preserve"> to</w:t>
      </w:r>
      <w:r w:rsidR="000D2312">
        <w:t xml:space="preserve"> be important also in this context, </w:t>
      </w:r>
      <w:r w:rsidR="006261B7">
        <w:t>to</w:t>
      </w:r>
      <w:r w:rsidR="00F060B4">
        <w:t xml:space="preserve"> </w:t>
      </w:r>
      <w:r w:rsidR="00977851">
        <w:t>determine the progress of substitution and the availability of alternatives</w:t>
      </w:r>
      <w:r w:rsidR="006261B7">
        <w:t>.  B</w:t>
      </w:r>
      <w:r w:rsidR="004D31BE">
        <w:t xml:space="preserve">ased on </w:t>
      </w:r>
      <w:r w:rsidR="006261B7">
        <w:t xml:space="preserve">this review, </w:t>
      </w:r>
      <w:r w:rsidR="00411208">
        <w:t xml:space="preserve">transition periods </w:t>
      </w:r>
      <w:r w:rsidR="000754F0">
        <w:t xml:space="preserve">in paragraph 6 </w:t>
      </w:r>
      <w:r w:rsidR="00F45991">
        <w:t xml:space="preserve">could be modified </w:t>
      </w:r>
      <w:r w:rsidR="00411208">
        <w:t>as appropr</w:t>
      </w:r>
      <w:r w:rsidR="004D31BE">
        <w:t>iate.</w:t>
      </w:r>
    </w:p>
    <w:p w14:paraId="21F0C294" w14:textId="3C002CA2" w:rsidR="00007FE6" w:rsidRDefault="00007FE6" w:rsidP="001A030D">
      <w:pPr>
        <w:tabs>
          <w:tab w:val="right" w:leader="dot" w:pos="9354"/>
        </w:tabs>
        <w:spacing w:before="120"/>
      </w:pPr>
      <w:r>
        <w:t xml:space="preserve">The proposed transition period of five years for other detergents and maintenance products will </w:t>
      </w:r>
      <w:r w:rsidR="009642F1">
        <w:t xml:space="preserve">also </w:t>
      </w:r>
      <w:r>
        <w:t>be challenging</w:t>
      </w:r>
      <w:r w:rsidR="00FF1975">
        <w:t xml:space="preserve">.  </w:t>
      </w:r>
      <w:r w:rsidR="00693AAD">
        <w:t>Substitution of microplastics within this timeframe</w:t>
      </w:r>
      <w:r w:rsidR="00FF1975">
        <w:t xml:space="preserve"> will be </w:t>
      </w:r>
      <w:r>
        <w:t xml:space="preserve">feasible only </w:t>
      </w:r>
      <w:r w:rsidR="00693AAD">
        <w:t>where</w:t>
      </w:r>
      <w:r>
        <w:t xml:space="preserve"> </w:t>
      </w:r>
      <w:r w:rsidRPr="00D234EC">
        <w:t>reformulation is simple and there are suitable alternatives (which for the most part is not currently the case).</w:t>
      </w:r>
      <w:r>
        <w:t xml:space="preserve">  Five years is considered the minimum period for reformulation from scoping to product launch.  A.I.S.E.’s socioeconomic analysis showed that </w:t>
      </w:r>
      <w:r w:rsidRPr="001A030D">
        <w:rPr>
          <w:b/>
          <w:bCs/>
        </w:rPr>
        <w:t>increasing this transition period to six years</w:t>
      </w:r>
      <w:r>
        <w:t xml:space="preserve"> </w:t>
      </w:r>
      <w:r w:rsidR="00E93804">
        <w:t>(co</w:t>
      </w:r>
      <w:r w:rsidR="00C33541">
        <w:t>upled</w:t>
      </w:r>
      <w:r w:rsidR="00E93804">
        <w:t xml:space="preserve"> with eight years for encapsulated fragrances) </w:t>
      </w:r>
      <w:r>
        <w:t xml:space="preserve">would only reduce the </w:t>
      </w:r>
      <w:r w:rsidR="005927E3">
        <w:t xml:space="preserve">releases </w:t>
      </w:r>
      <w:r>
        <w:t xml:space="preserve">avoided </w:t>
      </w:r>
      <w:r w:rsidR="00B814AA">
        <w:t>over 20 years</w:t>
      </w:r>
      <w:r>
        <w:t xml:space="preserve"> by </w:t>
      </w:r>
      <w:proofErr w:type="gramStart"/>
      <w:r>
        <w:t>4%, but</w:t>
      </w:r>
      <w:proofErr w:type="gramEnd"/>
      <w:r>
        <w:t xml:space="preserve"> would </w:t>
      </w:r>
      <w:r w:rsidR="008336BB">
        <w:t xml:space="preserve">cut </w:t>
      </w:r>
      <w:r>
        <w:t>costs by</w:t>
      </w:r>
      <w:r w:rsidR="00F76FC0">
        <w:t xml:space="preserve"> around</w:t>
      </w:r>
      <w:r>
        <w:t xml:space="preserve"> a quarter</w:t>
      </w:r>
      <w:r>
        <w:rPr>
          <w:rStyle w:val="Fotnotsreferens"/>
        </w:rPr>
        <w:footnoteReference w:id="4"/>
      </w:r>
      <w:r>
        <w:t>.</w:t>
      </w:r>
    </w:p>
    <w:p w14:paraId="20C4BFBB" w14:textId="36FC215B" w:rsidR="00E1087E" w:rsidRDefault="00E1087E" w:rsidP="001A030D">
      <w:pPr>
        <w:tabs>
          <w:tab w:val="right" w:leader="dot" w:pos="9354"/>
        </w:tabs>
        <w:spacing w:before="120"/>
      </w:pPr>
    </w:p>
    <w:p w14:paraId="01987149" w14:textId="30C96E69" w:rsidR="00E1087E" w:rsidRPr="00E1087E" w:rsidRDefault="00E1087E" w:rsidP="001A030D">
      <w:pPr>
        <w:tabs>
          <w:tab w:val="right" w:leader="dot" w:pos="9354"/>
        </w:tabs>
        <w:spacing w:before="120"/>
        <w:rPr>
          <w:b/>
          <w:bCs/>
        </w:rPr>
      </w:pPr>
      <w:r>
        <w:rPr>
          <w:b/>
          <w:bCs/>
        </w:rPr>
        <w:t>3. Derogations</w:t>
      </w:r>
      <w:r w:rsidR="00B451DB">
        <w:rPr>
          <w:b/>
          <w:bCs/>
        </w:rPr>
        <w:t xml:space="preserve"> from the restriction</w:t>
      </w:r>
    </w:p>
    <w:p w14:paraId="1C3C7643" w14:textId="2561C318" w:rsidR="008B4CD1" w:rsidRDefault="00B451DB" w:rsidP="00ED1FC3">
      <w:pPr>
        <w:tabs>
          <w:tab w:val="right" w:leader="dot" w:pos="9354"/>
        </w:tabs>
        <w:spacing w:before="240"/>
      </w:pPr>
      <w:r>
        <w:t xml:space="preserve">A.I.S.E. </w:t>
      </w:r>
      <w:r w:rsidR="00D96436">
        <w:t>supports</w:t>
      </w:r>
      <w:r>
        <w:t xml:space="preserve"> </w:t>
      </w:r>
      <w:r w:rsidR="004F48DC">
        <w:t xml:space="preserve">the </w:t>
      </w:r>
      <w:r w:rsidR="00666E36">
        <w:t>exclusion of</w:t>
      </w:r>
      <w:r w:rsidR="004F48DC">
        <w:t xml:space="preserve"> </w:t>
      </w:r>
      <w:r w:rsidR="004F48DC" w:rsidRPr="00B451DB">
        <w:rPr>
          <w:b/>
          <w:bCs/>
        </w:rPr>
        <w:t>natural</w:t>
      </w:r>
      <w:r w:rsidR="004F48DC">
        <w:t xml:space="preserve">, </w:t>
      </w:r>
      <w:r w:rsidR="009E6CFC" w:rsidRPr="00B451DB">
        <w:rPr>
          <w:b/>
          <w:bCs/>
        </w:rPr>
        <w:t>biodegradable</w:t>
      </w:r>
      <w:r w:rsidR="009E6CFC">
        <w:t xml:space="preserve"> and </w:t>
      </w:r>
      <w:r w:rsidR="004F48DC" w:rsidRPr="00B451DB">
        <w:rPr>
          <w:b/>
          <w:bCs/>
        </w:rPr>
        <w:t>water-soluble</w:t>
      </w:r>
      <w:r w:rsidR="004F48DC">
        <w:t xml:space="preserve"> polymers </w:t>
      </w:r>
      <w:r w:rsidR="00F807D0">
        <w:t>from the designation of synthetic polymer microparticles in</w:t>
      </w:r>
      <w:r>
        <w:t xml:space="preserve"> the restriction proposal</w:t>
      </w:r>
      <w:r w:rsidR="00B93C6A">
        <w:rPr>
          <w:rStyle w:val="Fotnotsreferens"/>
        </w:rPr>
        <w:footnoteReference w:id="5"/>
      </w:r>
      <w:r>
        <w:t xml:space="preserve">.  These </w:t>
      </w:r>
      <w:r w:rsidR="009E1D63">
        <w:t xml:space="preserve">are important </w:t>
      </w:r>
      <w:r w:rsidR="00204B98">
        <w:t xml:space="preserve">to exclude </w:t>
      </w:r>
      <w:r w:rsidR="00ED1FC3">
        <w:t xml:space="preserve">fully </w:t>
      </w:r>
      <w:r w:rsidR="001574D2">
        <w:t xml:space="preserve">from the scope of the restriction </w:t>
      </w:r>
      <w:r w:rsidR="00D96436">
        <w:t xml:space="preserve">many </w:t>
      </w:r>
      <w:r w:rsidR="00ED013E">
        <w:t xml:space="preserve">polymers </w:t>
      </w:r>
      <w:r w:rsidR="00ED1FC3">
        <w:t>that</w:t>
      </w:r>
      <w:r w:rsidR="00ED013E">
        <w:t xml:space="preserve"> are not plastics and</w:t>
      </w:r>
      <w:r w:rsidR="005C7C15">
        <w:t xml:space="preserve"> </w:t>
      </w:r>
      <w:r w:rsidR="00ED013E">
        <w:t>represent</w:t>
      </w:r>
      <w:r w:rsidR="005C7C15">
        <w:t xml:space="preserve"> no concern</w:t>
      </w:r>
      <w:r w:rsidR="00D81B1C">
        <w:t xml:space="preserve"> for the environment.</w:t>
      </w:r>
    </w:p>
    <w:p w14:paraId="4DE6EC34" w14:textId="6464C8C2" w:rsidR="00122C7A" w:rsidRDefault="0016787A" w:rsidP="008B4CD1">
      <w:pPr>
        <w:tabs>
          <w:tab w:val="right" w:leader="dot" w:pos="9354"/>
        </w:tabs>
      </w:pPr>
      <w:r>
        <w:t>The</w:t>
      </w:r>
      <w:r w:rsidR="009E6CFC">
        <w:t xml:space="preserve"> </w:t>
      </w:r>
      <w:r>
        <w:t xml:space="preserve">criteria to benefit from the biodegradability </w:t>
      </w:r>
      <w:r w:rsidR="00E21F58">
        <w:t>exclusion in paragraph (</w:t>
      </w:r>
      <w:r w:rsidR="00653C9E">
        <w:t>b</w:t>
      </w:r>
      <w:r w:rsidR="00E21F58">
        <w:t>)</w:t>
      </w:r>
      <w:r w:rsidR="0068754E">
        <w:t xml:space="preserve"> are </w:t>
      </w:r>
      <w:r w:rsidR="00D81B1C">
        <w:t xml:space="preserve">nonetheless </w:t>
      </w:r>
      <w:r w:rsidR="00653C9E">
        <w:t xml:space="preserve">relatively challenging, and research should be conducted as a matter of priority to improve the </w:t>
      </w:r>
      <w:r w:rsidR="00F11C62">
        <w:t>scientific</w:t>
      </w:r>
      <w:r w:rsidR="00162FC1">
        <w:t xml:space="preserve"> knowledge</w:t>
      </w:r>
      <w:r w:rsidR="00F11C62">
        <w:t xml:space="preserve"> base and to enable </w:t>
      </w:r>
      <w:r w:rsidR="00162FC1">
        <w:t>further</w:t>
      </w:r>
      <w:r w:rsidR="00F11C62">
        <w:t xml:space="preserve"> waiving of tests </w:t>
      </w:r>
      <w:r w:rsidR="00225C0F">
        <w:t>in a subsequent review of the restriction</w:t>
      </w:r>
      <w:r w:rsidR="00922E07">
        <w:t xml:space="preserve"> (after </w:t>
      </w:r>
      <w:proofErr w:type="gramStart"/>
      <w:r w:rsidR="00922E07">
        <w:t>e.g.</w:t>
      </w:r>
      <w:proofErr w:type="gramEnd"/>
      <w:r w:rsidR="00922E07">
        <w:t xml:space="preserve"> five years)</w:t>
      </w:r>
      <w:r w:rsidR="00225C0F">
        <w:t>.  A.I.S.E. and its members</w:t>
      </w:r>
      <w:r w:rsidR="00783626">
        <w:t xml:space="preserve"> </w:t>
      </w:r>
      <w:r w:rsidR="00CC74F3">
        <w:t xml:space="preserve">confirm their </w:t>
      </w:r>
      <w:r w:rsidR="00922E07">
        <w:t>inten</w:t>
      </w:r>
      <w:r w:rsidR="00CC74F3">
        <w:t>tion</w:t>
      </w:r>
      <w:r w:rsidR="00922E07">
        <w:t xml:space="preserve"> to </w:t>
      </w:r>
      <w:r w:rsidR="00783626">
        <w:t>support and contribute actively to such research</w:t>
      </w:r>
      <w:r w:rsidR="005E32DD">
        <w:t>.</w:t>
      </w:r>
    </w:p>
    <w:p w14:paraId="0B9F1075" w14:textId="4F5690DC" w:rsidR="008909BC" w:rsidRDefault="002D02CA" w:rsidP="00CC74F3">
      <w:pPr>
        <w:tabs>
          <w:tab w:val="right" w:leader="dot" w:pos="9354"/>
        </w:tabs>
        <w:spacing w:before="120"/>
      </w:pPr>
      <w:r>
        <w:t xml:space="preserve">A.I.S.E. </w:t>
      </w:r>
      <w:r w:rsidR="00CC74F3">
        <w:t xml:space="preserve">also </w:t>
      </w:r>
      <w:r>
        <w:t xml:space="preserve">welcomes the inclusion of </w:t>
      </w:r>
      <w:r w:rsidRPr="00CC74F3">
        <w:rPr>
          <w:b/>
          <w:bCs/>
        </w:rPr>
        <w:t xml:space="preserve">derogations </w:t>
      </w:r>
      <w:r w:rsidR="009F2DBD" w:rsidRPr="00CC74F3">
        <w:rPr>
          <w:b/>
          <w:bCs/>
        </w:rPr>
        <w:t>from the ban on placing on the market</w:t>
      </w:r>
      <w:r w:rsidR="009F2DBD">
        <w:t xml:space="preserve">, </w:t>
      </w:r>
      <w:r w:rsidR="00B03DCF">
        <w:t>such as</w:t>
      </w:r>
      <w:r w:rsidR="00CC74F3">
        <w:t xml:space="preserve"> those</w:t>
      </w:r>
      <w:r w:rsidR="00B03DCF">
        <w:t xml:space="preserve"> for </w:t>
      </w:r>
      <w:r w:rsidR="00482732">
        <w:t xml:space="preserve">microparticles </w:t>
      </w:r>
      <w:r w:rsidR="0023679E">
        <w:t xml:space="preserve">intended for industrial use (and </w:t>
      </w:r>
      <w:r w:rsidR="00115B5B">
        <w:t>hence subject to emission</w:t>
      </w:r>
      <w:r w:rsidR="00E47437">
        <w:t>s controls</w:t>
      </w:r>
      <w:r w:rsidR="00E35727">
        <w:t xml:space="preserve">), </w:t>
      </w:r>
      <w:r w:rsidR="00FA695C">
        <w:t>those</w:t>
      </w:r>
      <w:r w:rsidR="00E35727">
        <w:t xml:space="preserve"> </w:t>
      </w:r>
      <w:r w:rsidR="00B03DCF">
        <w:t xml:space="preserve">contained by technical </w:t>
      </w:r>
      <w:r w:rsidR="00550238">
        <w:t xml:space="preserve">means </w:t>
      </w:r>
      <w:r w:rsidR="002E0E1F">
        <w:t>to prevent release</w:t>
      </w:r>
      <w:r w:rsidR="00FA695C">
        <w:t xml:space="preserve"> during the intended end use</w:t>
      </w:r>
      <w:r w:rsidR="002E0E1F">
        <w:t xml:space="preserve"> </w:t>
      </w:r>
      <w:r w:rsidR="00550238">
        <w:t xml:space="preserve">and those </w:t>
      </w:r>
      <w:r w:rsidR="001E3E8A">
        <w:t xml:space="preserve">that are </w:t>
      </w:r>
      <w:r w:rsidR="00550238">
        <w:t xml:space="preserve">permanently </w:t>
      </w:r>
      <w:r w:rsidR="00E35727">
        <w:t xml:space="preserve">modified </w:t>
      </w:r>
      <w:r w:rsidR="001956BB">
        <w:t>during intended end</w:t>
      </w:r>
      <w:r w:rsidR="00E35727">
        <w:t xml:space="preserve"> use such that they no longer </w:t>
      </w:r>
      <w:r w:rsidR="00654141">
        <w:t xml:space="preserve">fall within </w:t>
      </w:r>
      <w:r w:rsidR="00D1130D">
        <w:t>scope of the</w:t>
      </w:r>
      <w:r w:rsidR="004E501B">
        <w:t xml:space="preserve"> restriction</w:t>
      </w:r>
      <w:r w:rsidR="00717296">
        <w:t>.</w:t>
      </w:r>
      <w:r w:rsidR="00EE3638">
        <w:t xml:space="preserve"> </w:t>
      </w:r>
      <w:r w:rsidR="00AF042C">
        <w:t xml:space="preserve"> </w:t>
      </w:r>
      <w:r w:rsidR="00BE5D1F">
        <w:t xml:space="preserve">These </w:t>
      </w:r>
      <w:r w:rsidR="003F0038">
        <w:t xml:space="preserve">derogations are important to avoid the needless </w:t>
      </w:r>
      <w:r w:rsidR="001E3E8A">
        <w:t>prohibition</w:t>
      </w:r>
      <w:r w:rsidR="003F0038">
        <w:t xml:space="preserve"> of materials </w:t>
      </w:r>
      <w:r w:rsidR="00C620BC">
        <w:t>that</w:t>
      </w:r>
      <w:r w:rsidR="003F0038">
        <w:t xml:space="preserve"> provide valuable societal benefits </w:t>
      </w:r>
      <w:r w:rsidR="00C620BC">
        <w:t xml:space="preserve">but represent only a </w:t>
      </w:r>
      <w:r w:rsidR="009D0062">
        <w:t>tiny</w:t>
      </w:r>
      <w:r w:rsidR="00F61030">
        <w:t xml:space="preserve"> proportion of any microplastic concern in the environment.  </w:t>
      </w:r>
      <w:r w:rsidR="004E7411">
        <w:t xml:space="preserve">Nonetheless these </w:t>
      </w:r>
      <w:r w:rsidR="009D0062">
        <w:t xml:space="preserve">materials are not fully exempted from the restriction and </w:t>
      </w:r>
      <w:r w:rsidR="000646A6">
        <w:t xml:space="preserve">will </w:t>
      </w:r>
      <w:r w:rsidR="009D0062">
        <w:t xml:space="preserve">remain subject to </w:t>
      </w:r>
      <w:r w:rsidR="00A809D2">
        <w:t xml:space="preserve">obligations </w:t>
      </w:r>
      <w:r w:rsidR="000646A6">
        <w:t>on</w:t>
      </w:r>
      <w:r w:rsidR="00A809D2">
        <w:t xml:space="preserve"> instructions for use and disposal </w:t>
      </w:r>
      <w:r w:rsidR="00F8732A">
        <w:t xml:space="preserve">to prevent releases of </w:t>
      </w:r>
      <w:r w:rsidR="00A04ED2">
        <w:t>microparticles</w:t>
      </w:r>
      <w:r w:rsidR="000646A6">
        <w:t>,</w:t>
      </w:r>
      <w:r w:rsidR="00F8732A">
        <w:t xml:space="preserve"> </w:t>
      </w:r>
      <w:r w:rsidR="00A809D2">
        <w:t>and on reporting</w:t>
      </w:r>
      <w:r w:rsidR="000646A6">
        <w:t xml:space="preserve"> of es</w:t>
      </w:r>
      <w:r w:rsidR="00FE7CF1">
        <w:t>t</w:t>
      </w:r>
      <w:r w:rsidR="000646A6">
        <w:t>imate</w:t>
      </w:r>
      <w:r w:rsidR="00FE7CF1">
        <w:t>d emissions</w:t>
      </w:r>
      <w:r w:rsidR="00A809D2">
        <w:t>.</w:t>
      </w:r>
    </w:p>
    <w:p w14:paraId="5053D814" w14:textId="674612F9" w:rsidR="003E64FD" w:rsidRDefault="003E64FD" w:rsidP="003E64FD">
      <w:pPr>
        <w:tabs>
          <w:tab w:val="right" w:leader="dot" w:pos="9354"/>
        </w:tabs>
        <w:spacing w:after="0"/>
      </w:pPr>
    </w:p>
    <w:p w14:paraId="0652C05D" w14:textId="23035466" w:rsidR="003E64FD" w:rsidRPr="003E64FD" w:rsidRDefault="003E64FD" w:rsidP="003E64FD">
      <w:pPr>
        <w:tabs>
          <w:tab w:val="right" w:leader="dot" w:pos="9354"/>
        </w:tabs>
        <w:spacing w:after="0"/>
        <w:rPr>
          <w:b/>
          <w:bCs/>
        </w:rPr>
      </w:pPr>
      <w:r>
        <w:rPr>
          <w:b/>
          <w:bCs/>
        </w:rPr>
        <w:lastRenderedPageBreak/>
        <w:t xml:space="preserve">4. </w:t>
      </w:r>
      <w:r w:rsidR="008335B6">
        <w:rPr>
          <w:b/>
          <w:bCs/>
        </w:rPr>
        <w:t>I</w:t>
      </w:r>
      <w:r w:rsidR="00EA355B">
        <w:rPr>
          <w:b/>
          <w:bCs/>
        </w:rPr>
        <w:t>nstructions for use and disposal</w:t>
      </w:r>
    </w:p>
    <w:p w14:paraId="05A59810" w14:textId="6C18FC21" w:rsidR="00A809D2" w:rsidRDefault="008335B6" w:rsidP="008335B6">
      <w:pPr>
        <w:tabs>
          <w:tab w:val="right" w:leader="dot" w:pos="9354"/>
        </w:tabs>
        <w:spacing w:before="120"/>
      </w:pPr>
      <w:r>
        <w:t xml:space="preserve">A.I.S.E. </w:t>
      </w:r>
      <w:r w:rsidR="005B73A0">
        <w:t>is confident that the r</w:t>
      </w:r>
      <w:r w:rsidR="00342827">
        <w:t>equirements</w:t>
      </w:r>
      <w:r w:rsidR="002067EE">
        <w:t xml:space="preserve"> in paragraph 7</w:t>
      </w:r>
      <w:r w:rsidR="00A75C66">
        <w:t>.a</w:t>
      </w:r>
      <w:r w:rsidR="002430D0">
        <w:t xml:space="preserve"> </w:t>
      </w:r>
      <w:r w:rsidR="005B73A0">
        <w:t xml:space="preserve">to provide instructions for use and disposal </w:t>
      </w:r>
      <w:r w:rsidR="002430D0">
        <w:t>are</w:t>
      </w:r>
      <w:r w:rsidR="00342827">
        <w:t xml:space="preserve"> </w:t>
      </w:r>
      <w:r w:rsidR="005B73A0">
        <w:t xml:space="preserve">already </w:t>
      </w:r>
      <w:r w:rsidR="00E22F04">
        <w:t xml:space="preserve">covered </w:t>
      </w:r>
      <w:r w:rsidR="007B5746">
        <w:t xml:space="preserve">adequately </w:t>
      </w:r>
      <w:r w:rsidR="00E22F04">
        <w:t xml:space="preserve">by </w:t>
      </w:r>
      <w:r w:rsidR="00E22F04" w:rsidRPr="00435E61">
        <w:rPr>
          <w:b/>
          <w:bCs/>
        </w:rPr>
        <w:t xml:space="preserve">existing </w:t>
      </w:r>
      <w:r w:rsidR="00342827" w:rsidRPr="00435E61">
        <w:rPr>
          <w:b/>
          <w:bCs/>
        </w:rPr>
        <w:t xml:space="preserve">obligations </w:t>
      </w:r>
      <w:r w:rsidR="00D56CE4" w:rsidRPr="00435E61">
        <w:rPr>
          <w:b/>
          <w:bCs/>
        </w:rPr>
        <w:t>on labelling or use instructions</w:t>
      </w:r>
      <w:r w:rsidR="00A90972">
        <w:t xml:space="preserve"> that apply to the sector</w:t>
      </w:r>
      <w:r w:rsidR="00D56CE4">
        <w:t xml:space="preserve">, </w:t>
      </w:r>
      <w:proofErr w:type="gramStart"/>
      <w:r w:rsidR="00D56CE4">
        <w:t>e.g.</w:t>
      </w:r>
      <w:proofErr w:type="gramEnd"/>
      <w:r w:rsidR="00D56CE4">
        <w:t xml:space="preserve"> </w:t>
      </w:r>
      <w:r w:rsidR="00A90972">
        <w:t xml:space="preserve">the </w:t>
      </w:r>
      <w:r w:rsidR="00D56CE4">
        <w:t>CLP</w:t>
      </w:r>
      <w:r w:rsidR="00A90972">
        <w:t xml:space="preserve"> Regulation (EU)</w:t>
      </w:r>
      <w:r w:rsidR="005F0465">
        <w:t xml:space="preserve"> No 1272/2008</w:t>
      </w:r>
      <w:r w:rsidR="00461CBB">
        <w:t>,</w:t>
      </w:r>
      <w:r w:rsidR="005F0465">
        <w:t xml:space="preserve"> the </w:t>
      </w:r>
      <w:r w:rsidR="00D56CE4">
        <w:t>Detergents Regulation</w:t>
      </w:r>
      <w:r w:rsidR="005F0465">
        <w:t xml:space="preserve"> </w:t>
      </w:r>
      <w:r w:rsidR="009F221D">
        <w:t>(EC) No 648/2004</w:t>
      </w:r>
      <w:r w:rsidR="00461CBB">
        <w:t xml:space="preserve"> or Biocidal Products R</w:t>
      </w:r>
      <w:r w:rsidR="00725E59">
        <w:t>e</w:t>
      </w:r>
      <w:r w:rsidR="00461CBB">
        <w:t>gulation</w:t>
      </w:r>
      <w:r w:rsidR="00725E59">
        <w:t xml:space="preserve"> (EC) No 528/2012</w:t>
      </w:r>
      <w:r w:rsidR="00D56CE4">
        <w:t xml:space="preserve">.  </w:t>
      </w:r>
    </w:p>
    <w:p w14:paraId="7D42469E" w14:textId="77777777" w:rsidR="00EA355B" w:rsidRDefault="00EA355B" w:rsidP="00EA355B">
      <w:pPr>
        <w:tabs>
          <w:tab w:val="right" w:leader="dot" w:pos="9354"/>
        </w:tabs>
        <w:spacing w:after="0"/>
        <w:rPr>
          <w:b/>
          <w:bCs/>
        </w:rPr>
      </w:pPr>
    </w:p>
    <w:p w14:paraId="4A62B804" w14:textId="7573EF4B" w:rsidR="00EA355B" w:rsidRPr="003E64FD" w:rsidRDefault="00EA355B" w:rsidP="00EA355B">
      <w:pPr>
        <w:tabs>
          <w:tab w:val="right" w:leader="dot" w:pos="9354"/>
        </w:tabs>
        <w:spacing w:after="0"/>
        <w:rPr>
          <w:b/>
          <w:bCs/>
        </w:rPr>
      </w:pPr>
      <w:r>
        <w:rPr>
          <w:b/>
          <w:bCs/>
        </w:rPr>
        <w:t>5. Reporting obligations</w:t>
      </w:r>
    </w:p>
    <w:p w14:paraId="3147DB4D" w14:textId="47119FA9" w:rsidR="00174250" w:rsidRDefault="00435E61" w:rsidP="00435E61">
      <w:pPr>
        <w:tabs>
          <w:tab w:val="right" w:leader="dot" w:pos="9354"/>
        </w:tabs>
        <w:spacing w:before="120"/>
      </w:pPr>
      <w:r>
        <w:t>A.I.S.E.</w:t>
      </w:r>
      <w:r w:rsidR="002067EE">
        <w:t xml:space="preserve"> questions the </w:t>
      </w:r>
      <w:r w:rsidR="00632A95">
        <w:t>utility</w:t>
      </w:r>
      <w:r w:rsidR="002067EE">
        <w:t xml:space="preserve"> of </w:t>
      </w:r>
      <w:r w:rsidR="00540BFD">
        <w:t>an annual reporting requirement</w:t>
      </w:r>
      <w:r w:rsidR="00934314">
        <w:t xml:space="preserve"> (paragraph 8</w:t>
      </w:r>
      <w:proofErr w:type="gramStart"/>
      <w:r w:rsidR="00934314">
        <w:t>)</w:t>
      </w:r>
      <w:r w:rsidR="001C5201">
        <w:t>, since</w:t>
      </w:r>
      <w:proofErr w:type="gramEnd"/>
      <w:r w:rsidR="001C5201">
        <w:t xml:space="preserve"> th</w:t>
      </w:r>
      <w:r w:rsidR="000F479C">
        <w:t>is</w:t>
      </w:r>
      <w:r w:rsidR="001C5201">
        <w:t xml:space="preserve"> will only track estimates of </w:t>
      </w:r>
      <w:r w:rsidR="001C5201" w:rsidRPr="00630922">
        <w:rPr>
          <w:b/>
          <w:bCs/>
        </w:rPr>
        <w:t>adventitious releases of microplastics</w:t>
      </w:r>
      <w:r w:rsidR="00540BFD">
        <w:t>.  A.I.S.E.</w:t>
      </w:r>
      <w:r>
        <w:t xml:space="preserve">’s </w:t>
      </w:r>
      <w:r w:rsidR="00825B01">
        <w:t xml:space="preserve">analysis has demonstrated that </w:t>
      </w:r>
      <w:r w:rsidR="00E23286">
        <w:t xml:space="preserve">new reporting and disclosure </w:t>
      </w:r>
      <w:r w:rsidR="00F520B3">
        <w:t>obligation</w:t>
      </w:r>
      <w:r w:rsidR="00E23286">
        <w:t>s</w:t>
      </w:r>
      <w:r w:rsidR="00F520B3">
        <w:t xml:space="preserve"> </w:t>
      </w:r>
      <w:r w:rsidR="00C855AC">
        <w:t>will create</w:t>
      </w:r>
      <w:r w:rsidR="00E23286">
        <w:t xml:space="preserve"> disproportionate</w:t>
      </w:r>
      <w:r w:rsidR="00C855AC">
        <w:t xml:space="preserve"> </w:t>
      </w:r>
      <w:r w:rsidR="007B07A2" w:rsidRPr="004D5E6D">
        <w:rPr>
          <w:b/>
          <w:bCs/>
        </w:rPr>
        <w:t>administrative burden</w:t>
      </w:r>
      <w:r w:rsidR="007B07A2">
        <w:t xml:space="preserve"> for companies and necessitate</w:t>
      </w:r>
      <w:r w:rsidR="00825B01">
        <w:t xml:space="preserve"> the</w:t>
      </w:r>
      <w:r w:rsidR="007B07A2">
        <w:t xml:space="preserve"> implementation of </w:t>
      </w:r>
      <w:r w:rsidR="007B07A2" w:rsidRPr="004D5E6D">
        <w:rPr>
          <w:b/>
          <w:bCs/>
        </w:rPr>
        <w:t>new IT tools</w:t>
      </w:r>
      <w:r w:rsidR="008E547A">
        <w:rPr>
          <w:b/>
          <w:bCs/>
        </w:rPr>
        <w:t>,</w:t>
      </w:r>
      <w:r w:rsidR="004D5E6D">
        <w:rPr>
          <w:b/>
          <w:bCs/>
        </w:rPr>
        <w:t xml:space="preserve"> </w:t>
      </w:r>
      <w:r w:rsidR="007B07A2" w:rsidRPr="004D5E6D">
        <w:rPr>
          <w:b/>
          <w:bCs/>
        </w:rPr>
        <w:t>functionalities</w:t>
      </w:r>
      <w:r w:rsidR="008E547A">
        <w:rPr>
          <w:b/>
          <w:bCs/>
        </w:rPr>
        <w:t xml:space="preserve"> and supply chain communication</w:t>
      </w:r>
      <w:r w:rsidR="00825B01">
        <w:t xml:space="preserve"> –</w:t>
      </w:r>
      <w:r w:rsidR="007B07A2">
        <w:t xml:space="preserve"> </w:t>
      </w:r>
      <w:r w:rsidR="006947DF">
        <w:t>without</w:t>
      </w:r>
      <w:r w:rsidR="00825B01">
        <w:t xml:space="preserve"> any</w:t>
      </w:r>
      <w:r w:rsidR="006947DF">
        <w:t xml:space="preserve"> obvious value </w:t>
      </w:r>
      <w:r w:rsidR="0072258E">
        <w:t>for</w:t>
      </w:r>
      <w:r w:rsidR="006947DF">
        <w:t xml:space="preserve"> </w:t>
      </w:r>
      <w:r w:rsidR="0072258E">
        <w:t>monitoring</w:t>
      </w:r>
      <w:r w:rsidR="006947DF">
        <w:t xml:space="preserve"> </w:t>
      </w:r>
      <w:r w:rsidR="0072258E">
        <w:t xml:space="preserve">of </w:t>
      </w:r>
      <w:r w:rsidR="00825B01">
        <w:t xml:space="preserve">the </w:t>
      </w:r>
      <w:r w:rsidR="00527630">
        <w:t>effectiveness</w:t>
      </w:r>
      <w:r w:rsidR="006947DF">
        <w:t xml:space="preserve"> </w:t>
      </w:r>
      <w:r w:rsidR="00825B01">
        <w:t>of the restriction</w:t>
      </w:r>
      <w:r w:rsidR="008E547A">
        <w:t xml:space="preserve"> in reducing microplastic pollution</w:t>
      </w:r>
      <w:r w:rsidR="00F60039">
        <w:t>.</w:t>
      </w:r>
    </w:p>
    <w:p w14:paraId="2E057290" w14:textId="08D256C7" w:rsidR="00A82AC8" w:rsidRDefault="00656A9A" w:rsidP="00435E61">
      <w:pPr>
        <w:tabs>
          <w:tab w:val="right" w:leader="dot" w:pos="9354"/>
        </w:tabs>
        <w:spacing w:before="120"/>
      </w:pPr>
      <w:r>
        <w:t xml:space="preserve">In its opinion SEAC </w:t>
      </w:r>
      <w:r w:rsidR="00645284">
        <w:t xml:space="preserve">recommended that </w:t>
      </w:r>
      <w:r w:rsidR="007C4862">
        <w:t xml:space="preserve">in order </w:t>
      </w:r>
      <w:r w:rsidR="00036A95">
        <w:t xml:space="preserve">for reporting </w:t>
      </w:r>
      <w:r w:rsidR="00BA19A2">
        <w:t xml:space="preserve">to be cost-effective, </w:t>
      </w:r>
      <w:r w:rsidR="00036A95">
        <w:t>its</w:t>
      </w:r>
      <w:r w:rsidR="00645284">
        <w:t xml:space="preserve"> organisational </w:t>
      </w:r>
      <w:r w:rsidR="00BA19A2">
        <w:t xml:space="preserve">set-up should be </w:t>
      </w:r>
      <w:proofErr w:type="gramStart"/>
      <w:r w:rsidR="00BA19A2">
        <w:t>efficient</w:t>
      </w:r>
      <w:proofErr w:type="gramEnd"/>
      <w:r w:rsidR="00BA19A2">
        <w:t xml:space="preserve"> and </w:t>
      </w:r>
      <w:r w:rsidR="000B72BD">
        <w:t xml:space="preserve">some </w:t>
      </w:r>
      <w:r>
        <w:t>options</w:t>
      </w:r>
      <w:r w:rsidR="007C4862">
        <w:t xml:space="preserve"> </w:t>
      </w:r>
      <w:r w:rsidR="00265005">
        <w:t xml:space="preserve">were suggested </w:t>
      </w:r>
      <w:r w:rsidR="00BA19A2">
        <w:t>to reduce costs and improve the proportionality of the</w:t>
      </w:r>
      <w:r w:rsidR="007C4862">
        <w:t xml:space="preserve"> restriction.  </w:t>
      </w:r>
      <w:r w:rsidR="003A64BC">
        <w:t xml:space="preserve">If </w:t>
      </w:r>
      <w:r w:rsidR="002E55D5">
        <w:t>a</w:t>
      </w:r>
      <w:r w:rsidR="003A64BC">
        <w:t xml:space="preserve"> reporting obligation</w:t>
      </w:r>
      <w:r w:rsidR="002E55D5">
        <w:t xml:space="preserve"> is </w:t>
      </w:r>
      <w:r w:rsidR="002067EE">
        <w:t xml:space="preserve">still </w:t>
      </w:r>
      <w:r w:rsidR="002E55D5">
        <w:t>considered</w:t>
      </w:r>
      <w:r w:rsidR="008175E5">
        <w:t xml:space="preserve"> relevant,</w:t>
      </w:r>
      <w:r w:rsidR="003A64BC">
        <w:t xml:space="preserve"> </w:t>
      </w:r>
      <w:r w:rsidR="007C4862">
        <w:t>A.I.S.E. supports</w:t>
      </w:r>
      <w:r w:rsidR="00B90C21">
        <w:t xml:space="preserve"> limit</w:t>
      </w:r>
      <w:r w:rsidR="00587B10">
        <w:t>ing</w:t>
      </w:r>
      <w:r w:rsidR="00B90C21">
        <w:t xml:space="preserve"> the reporting obligation to </w:t>
      </w:r>
      <w:r w:rsidR="00F34B74" w:rsidRPr="00ED4982">
        <w:rPr>
          <w:b/>
          <w:bCs/>
        </w:rPr>
        <w:t xml:space="preserve">only </w:t>
      </w:r>
      <w:r w:rsidR="00B90C21" w:rsidRPr="00ED4982">
        <w:rPr>
          <w:b/>
          <w:bCs/>
        </w:rPr>
        <w:t>certain actors</w:t>
      </w:r>
      <w:r w:rsidR="00B90C21">
        <w:t xml:space="preserve"> (</w:t>
      </w:r>
      <w:proofErr w:type="gramStart"/>
      <w:r w:rsidR="00B90C21">
        <w:t>e.g.</w:t>
      </w:r>
      <w:proofErr w:type="gramEnd"/>
      <w:r w:rsidR="00B90C21">
        <w:t xml:space="preserve"> </w:t>
      </w:r>
      <w:r w:rsidR="00587B10">
        <w:t xml:space="preserve">suppliers of synthetic polymer microparticles </w:t>
      </w:r>
      <w:r w:rsidR="0065536A">
        <w:t>referred to in paragraph 5 placed on the market for the first time</w:t>
      </w:r>
      <w:r w:rsidR="00B90C21">
        <w:t>)</w:t>
      </w:r>
      <w:r w:rsidR="00C33D00">
        <w:t>,</w:t>
      </w:r>
      <w:r w:rsidR="00B90C21">
        <w:t xml:space="preserve"> </w:t>
      </w:r>
      <w:r w:rsidR="0065536A">
        <w:t>but also</w:t>
      </w:r>
      <w:r w:rsidR="00FB1805">
        <w:t xml:space="preserve"> calls for</w:t>
      </w:r>
      <w:r w:rsidR="00B90C21">
        <w:t xml:space="preserve"> </w:t>
      </w:r>
      <w:r w:rsidR="00B16671">
        <w:t>introduc</w:t>
      </w:r>
      <w:r w:rsidR="00FB1805">
        <w:t>tion of</w:t>
      </w:r>
      <w:r w:rsidR="00B16671">
        <w:t xml:space="preserve"> a </w:t>
      </w:r>
      <w:r w:rsidR="00B16671" w:rsidRPr="00ED4982">
        <w:rPr>
          <w:b/>
          <w:bCs/>
        </w:rPr>
        <w:t>minimum</w:t>
      </w:r>
      <w:r w:rsidR="00F34B74" w:rsidRPr="00ED4982">
        <w:rPr>
          <w:b/>
          <w:bCs/>
        </w:rPr>
        <w:t xml:space="preserve"> </w:t>
      </w:r>
      <w:r w:rsidR="00381A88" w:rsidRPr="00ED4982">
        <w:rPr>
          <w:b/>
          <w:bCs/>
        </w:rPr>
        <w:t xml:space="preserve">tonnage </w:t>
      </w:r>
      <w:r w:rsidR="006A2AE6" w:rsidRPr="00ED4982">
        <w:rPr>
          <w:b/>
          <w:bCs/>
        </w:rPr>
        <w:t>threshold</w:t>
      </w:r>
      <w:r w:rsidR="006A2AE6">
        <w:t xml:space="preserve"> </w:t>
      </w:r>
      <w:r w:rsidR="007249ED">
        <w:t>for</w:t>
      </w:r>
      <w:r w:rsidR="002450BA">
        <w:t xml:space="preserve"> microplastic releases triggering the reporting obligati</w:t>
      </w:r>
      <w:r w:rsidR="00802096">
        <w:t>on.</w:t>
      </w:r>
      <w:r w:rsidR="00DA056F">
        <w:t xml:space="preserve">  This would reduce </w:t>
      </w:r>
      <w:r w:rsidR="0064789C">
        <w:t xml:space="preserve">the </w:t>
      </w:r>
      <w:r w:rsidR="00DA056F">
        <w:t>burden</w:t>
      </w:r>
      <w:r w:rsidR="0064789C">
        <w:t xml:space="preserve"> for SMEs and </w:t>
      </w:r>
      <w:r w:rsidR="0066187D">
        <w:t xml:space="preserve">provide an incentive </w:t>
      </w:r>
      <w:r w:rsidR="00ED42A5">
        <w:t xml:space="preserve">for suppliers </w:t>
      </w:r>
      <w:r w:rsidR="0066187D">
        <w:t xml:space="preserve">to reduce </w:t>
      </w:r>
      <w:r w:rsidR="0008406F">
        <w:t xml:space="preserve">emissions of </w:t>
      </w:r>
      <w:r w:rsidR="00ED42A5">
        <w:t>microplastic</w:t>
      </w:r>
      <w:r w:rsidR="007249ED">
        <w:t>s</w:t>
      </w:r>
      <w:r w:rsidR="003241D8">
        <w:t xml:space="preserve">; </w:t>
      </w:r>
      <w:proofErr w:type="gramStart"/>
      <w:r w:rsidR="00CD73C3">
        <w:t>furthermore</w:t>
      </w:r>
      <w:proofErr w:type="gramEnd"/>
      <w:r w:rsidR="00ED42A5">
        <w:t xml:space="preserve"> </w:t>
      </w:r>
      <w:r w:rsidR="00C861B0">
        <w:t xml:space="preserve">it is not reasonable or practicable to apply </w:t>
      </w:r>
      <w:r w:rsidR="00ED42A5">
        <w:t xml:space="preserve">a </w:t>
      </w:r>
      <w:r w:rsidR="00C861B0">
        <w:t>requirement</w:t>
      </w:r>
      <w:r w:rsidR="00ED42A5">
        <w:t xml:space="preserve"> </w:t>
      </w:r>
      <w:r w:rsidR="003241D8">
        <w:t xml:space="preserve">with no </w:t>
      </w:r>
      <w:r w:rsidR="004E6A16">
        <w:t>cut-off</w:t>
      </w:r>
      <w:r w:rsidR="003241D8">
        <w:t xml:space="preserve"> threshold.</w:t>
      </w:r>
      <w:r w:rsidR="002450BA">
        <w:t xml:space="preserve"> </w:t>
      </w:r>
    </w:p>
    <w:p w14:paraId="4AD48D32" w14:textId="5BC3B37E" w:rsidR="00266D90" w:rsidRDefault="00266D90" w:rsidP="00435E61">
      <w:pPr>
        <w:tabs>
          <w:tab w:val="right" w:leader="dot" w:pos="9354"/>
        </w:tabs>
        <w:spacing w:before="120"/>
      </w:pPr>
      <w:r>
        <w:t xml:space="preserve">A.I.S.E. also </w:t>
      </w:r>
      <w:r w:rsidR="00E346D7">
        <w:t>calls for</w:t>
      </w:r>
      <w:r w:rsidR="008E6F00">
        <w:t xml:space="preserve"> </w:t>
      </w:r>
      <w:r w:rsidR="00E346D7">
        <w:t>exclusion of</w:t>
      </w:r>
      <w:r w:rsidR="00A01323">
        <w:t xml:space="preserve"> any</w:t>
      </w:r>
      <w:r>
        <w:t xml:space="preserve"> requirement to</w:t>
      </w:r>
      <w:r w:rsidR="00791D32">
        <w:t xml:space="preserve"> </w:t>
      </w:r>
      <w:r w:rsidR="00AF5945">
        <w:t xml:space="preserve">report </w:t>
      </w:r>
      <w:r w:rsidR="00CA6203">
        <w:rPr>
          <w:b/>
          <w:bCs/>
        </w:rPr>
        <w:t xml:space="preserve">generic information on the identity of the </w:t>
      </w:r>
      <w:r w:rsidR="00AF5945" w:rsidRPr="00FB1703">
        <w:rPr>
          <w:b/>
          <w:bCs/>
        </w:rPr>
        <w:t>polymer</w:t>
      </w:r>
      <w:r w:rsidR="00CA6203">
        <w:rPr>
          <w:b/>
          <w:bCs/>
        </w:rPr>
        <w:t xml:space="preserve">s </w:t>
      </w:r>
      <w:r w:rsidR="005F4E52">
        <w:rPr>
          <w:b/>
          <w:bCs/>
        </w:rPr>
        <w:t>for each use</w:t>
      </w:r>
      <w:r w:rsidR="00A01323">
        <w:t>.</w:t>
      </w:r>
      <w:r w:rsidR="00E421D6">
        <w:t xml:space="preserve">  </w:t>
      </w:r>
      <w:r w:rsidR="006C7AD2">
        <w:t xml:space="preserve">Products placed on the market can contain numerous different types of </w:t>
      </w:r>
      <w:proofErr w:type="gramStart"/>
      <w:r w:rsidR="006C7AD2">
        <w:t>polymers, and</w:t>
      </w:r>
      <w:proofErr w:type="gramEnd"/>
      <w:r w:rsidR="006C7AD2">
        <w:t xml:space="preserve"> </w:t>
      </w:r>
      <w:r w:rsidR="0005688A">
        <w:t xml:space="preserve">tracking </w:t>
      </w:r>
      <w:r w:rsidR="0008406F">
        <w:t xml:space="preserve">estimated releases per </w:t>
      </w:r>
      <w:r w:rsidR="0005688A">
        <w:t>use</w:t>
      </w:r>
      <w:r w:rsidR="006401E1">
        <w:t xml:space="preserve"> </w:t>
      </w:r>
      <w:r w:rsidR="006401E1">
        <w:rPr>
          <w:u w:val="single"/>
        </w:rPr>
        <w:t>and</w:t>
      </w:r>
      <w:r w:rsidR="0005688A">
        <w:t xml:space="preserve"> per polymer </w:t>
      </w:r>
      <w:r w:rsidR="00A5079E">
        <w:t xml:space="preserve">type </w:t>
      </w:r>
      <w:r w:rsidR="00EC79BD">
        <w:t>would be</w:t>
      </w:r>
      <w:r w:rsidR="0005688A">
        <w:t xml:space="preserve"> </w:t>
      </w:r>
      <w:r w:rsidR="005666DB">
        <w:t xml:space="preserve">a disproportionate </w:t>
      </w:r>
      <w:r w:rsidR="0005688A">
        <w:t>level of</w:t>
      </w:r>
      <w:r w:rsidR="00FD3AEA">
        <w:t xml:space="preserve"> burden</w:t>
      </w:r>
      <w:r w:rsidR="003313CE">
        <w:t xml:space="preserve">, the </w:t>
      </w:r>
      <w:r w:rsidR="00EC79BD">
        <w:t xml:space="preserve">added </w:t>
      </w:r>
      <w:r w:rsidR="003313CE">
        <w:t>value of which has not been justified</w:t>
      </w:r>
      <w:r w:rsidR="00094402">
        <w:t xml:space="preserve"> since the </w:t>
      </w:r>
      <w:r w:rsidR="00437BB6">
        <w:t xml:space="preserve">restriction is </w:t>
      </w:r>
      <w:r w:rsidR="0052370F">
        <w:t>o</w:t>
      </w:r>
      <w:r w:rsidR="00EC0AE5">
        <w:t>f</w:t>
      </w:r>
      <w:r w:rsidR="00437BB6">
        <w:t xml:space="preserve"> ‘</w:t>
      </w:r>
      <w:r w:rsidR="00D53C99">
        <w:t xml:space="preserve">synthetic polymeric </w:t>
      </w:r>
      <w:r w:rsidR="00437BB6">
        <w:t>microp</w:t>
      </w:r>
      <w:r w:rsidR="00D53C99">
        <w:t>articles</w:t>
      </w:r>
      <w:r w:rsidR="00437BB6">
        <w:t>’</w:t>
      </w:r>
      <w:r w:rsidR="00B653D6">
        <w:t xml:space="preserve"> </w:t>
      </w:r>
      <w:r w:rsidR="0066295A">
        <w:t>collectively</w:t>
      </w:r>
      <w:r w:rsidR="006C7AD2">
        <w:t>.</w:t>
      </w:r>
      <w:r w:rsidR="005E3E88">
        <w:t xml:space="preserve">  </w:t>
      </w:r>
      <w:r w:rsidR="00EC79BD">
        <w:t>To monitor the effectiveness</w:t>
      </w:r>
      <w:r w:rsidR="00E9416F">
        <w:t xml:space="preserve"> </w:t>
      </w:r>
      <w:r w:rsidR="00EC79BD">
        <w:t>of the restriction</w:t>
      </w:r>
      <w:r w:rsidR="001B177E">
        <w:t>, a</w:t>
      </w:r>
      <w:r w:rsidR="007965F3">
        <w:t xml:space="preserve"> total</w:t>
      </w:r>
      <w:r w:rsidR="001B177E">
        <w:t xml:space="preserve"> estimate of </w:t>
      </w:r>
      <w:r w:rsidR="00303577">
        <w:t xml:space="preserve">microparticle </w:t>
      </w:r>
      <w:r w:rsidR="001B177E">
        <w:t xml:space="preserve">releases per </w:t>
      </w:r>
      <w:r w:rsidR="00052AC2">
        <w:t xml:space="preserve">use – or per </w:t>
      </w:r>
      <w:r w:rsidR="001B177E">
        <w:t>industrial</w:t>
      </w:r>
      <w:r w:rsidR="00052AC2">
        <w:t xml:space="preserve"> user – would suffice.</w:t>
      </w:r>
      <w:r w:rsidR="001B177E">
        <w:t xml:space="preserve"> </w:t>
      </w:r>
      <w:r w:rsidR="007965F3">
        <w:t xml:space="preserve"> </w:t>
      </w:r>
    </w:p>
    <w:p w14:paraId="2219C907" w14:textId="4EF173D3" w:rsidR="00F520B3" w:rsidRDefault="008503B0" w:rsidP="00435E61">
      <w:pPr>
        <w:tabs>
          <w:tab w:val="right" w:leader="dot" w:pos="9354"/>
        </w:tabs>
        <w:spacing w:before="120"/>
      </w:pPr>
      <w:r>
        <w:t xml:space="preserve">Submitted information is to be </w:t>
      </w:r>
      <w:r w:rsidR="00082A1F">
        <w:t xml:space="preserve">made available to Member States by </w:t>
      </w:r>
      <w:proofErr w:type="gramStart"/>
      <w:r w:rsidR="00082A1F">
        <w:t>ECHA, but</w:t>
      </w:r>
      <w:proofErr w:type="gramEnd"/>
      <w:r w:rsidR="000D08C3">
        <w:t xml:space="preserve"> </w:t>
      </w:r>
      <w:r w:rsidR="00131EF1">
        <w:t>should not be</w:t>
      </w:r>
      <w:r w:rsidR="00A82AC8">
        <w:t xml:space="preserve"> </w:t>
      </w:r>
      <w:r w:rsidR="00C033AF">
        <w:t>disseminated</w:t>
      </w:r>
      <w:r w:rsidR="000D08C3">
        <w:t xml:space="preserve"> publicly </w:t>
      </w:r>
      <w:r w:rsidR="00131EF1">
        <w:t xml:space="preserve">to </w:t>
      </w:r>
      <w:r w:rsidR="000D08C3">
        <w:t xml:space="preserve">avoid any potential </w:t>
      </w:r>
      <w:r w:rsidR="00C033AF">
        <w:t>‘</w:t>
      </w:r>
      <w:r w:rsidR="000D08C3">
        <w:t>blacklisting</w:t>
      </w:r>
      <w:r w:rsidR="00C033AF">
        <w:t>’</w:t>
      </w:r>
      <w:r w:rsidR="000D08C3">
        <w:t xml:space="preserve"> effect</w:t>
      </w:r>
      <w:r w:rsidR="0090742C">
        <w:t xml:space="preserve">.  At most </w:t>
      </w:r>
      <w:r w:rsidR="00335E75">
        <w:t xml:space="preserve">only </w:t>
      </w:r>
      <w:r w:rsidR="007D5E5D">
        <w:t>aggregated volumes</w:t>
      </w:r>
      <w:r w:rsidR="00B653D6">
        <w:t xml:space="preserve"> should be</w:t>
      </w:r>
      <w:r w:rsidR="007D5E5D">
        <w:t xml:space="preserve"> reported that do </w:t>
      </w:r>
      <w:r w:rsidR="002E23BC">
        <w:t>not identify indiv</w:t>
      </w:r>
      <w:r w:rsidR="003F069C">
        <w:t xml:space="preserve">idual </w:t>
      </w:r>
      <w:r w:rsidR="007D5E5D">
        <w:t>economic operators.</w:t>
      </w:r>
    </w:p>
    <w:p w14:paraId="498A9EBC" w14:textId="1A667360" w:rsidR="004E2EC8" w:rsidRDefault="006B5F96" w:rsidP="004E2EC8">
      <w:pPr>
        <w:tabs>
          <w:tab w:val="right" w:leader="dot" w:pos="9354"/>
        </w:tabs>
        <w:spacing w:before="120" w:after="0"/>
      </w:pPr>
      <w:r>
        <w:t xml:space="preserve">If an annual reporting obligation is adopted, A.I.S.E. supports </w:t>
      </w:r>
      <w:r w:rsidR="007B7243">
        <w:t>the proposal for a uniform deadline of 31</w:t>
      </w:r>
      <w:r w:rsidR="007B7243" w:rsidRPr="007B7243">
        <w:rPr>
          <w:vertAlign w:val="superscript"/>
        </w:rPr>
        <w:t>st</w:t>
      </w:r>
      <w:r w:rsidR="007B7243">
        <w:t xml:space="preserve"> May for reporting of releases in the previous calendar year.</w:t>
      </w:r>
    </w:p>
    <w:p w14:paraId="6764D94D" w14:textId="2FE4DC61" w:rsidR="002E2A9F" w:rsidRDefault="002E2A9F" w:rsidP="002E2A9F">
      <w:pPr>
        <w:tabs>
          <w:tab w:val="right" w:leader="dot" w:pos="9354"/>
        </w:tabs>
        <w:spacing w:before="120" w:after="0"/>
        <w:jc w:val="center"/>
      </w:pPr>
      <w:r>
        <w:t>*****</w:t>
      </w:r>
    </w:p>
    <w:p w14:paraId="54E14C1F" w14:textId="4FA2478F" w:rsidR="009F47EA" w:rsidRPr="009F47EA" w:rsidRDefault="009F47EA" w:rsidP="008C6B19">
      <w:pPr>
        <w:tabs>
          <w:tab w:val="right" w:leader="dot" w:pos="9354"/>
        </w:tabs>
        <w:spacing w:before="120"/>
      </w:pPr>
      <w:r w:rsidRPr="009F47EA">
        <w:t>A.I.S.E. invites th</w:t>
      </w:r>
      <w:r>
        <w:t xml:space="preserve">e European Commission and the </w:t>
      </w:r>
      <w:r w:rsidR="00CB5552">
        <w:t xml:space="preserve">Member State Competent Authorities to take these comments into account </w:t>
      </w:r>
      <w:r w:rsidR="00335E75">
        <w:t xml:space="preserve">in their consideration of </w:t>
      </w:r>
      <w:r w:rsidR="00C94A6D">
        <w:t>the proposed restriction</w:t>
      </w:r>
      <w:r w:rsidR="00415692">
        <w:t xml:space="preserve"> and </w:t>
      </w:r>
      <w:r w:rsidR="00CE036A">
        <w:t xml:space="preserve">to </w:t>
      </w:r>
      <w:r w:rsidR="00415692">
        <w:t>ensure</w:t>
      </w:r>
      <w:r w:rsidR="00415692" w:rsidRPr="00415692">
        <w:t xml:space="preserve"> legislative coherence and alignment of policy objectives with existing and future initiatives</w:t>
      </w:r>
      <w:r w:rsidR="00415692">
        <w:t>. We</w:t>
      </w:r>
      <w:r w:rsidR="0091386E">
        <w:t xml:space="preserve"> remain available for further discussion </w:t>
      </w:r>
      <w:r w:rsidR="00D5592F">
        <w:t xml:space="preserve">on any of the </w:t>
      </w:r>
      <w:r w:rsidR="004E2EC8">
        <w:t>points mentioned.</w:t>
      </w:r>
    </w:p>
    <w:sectPr w:rsidR="009F47EA" w:rsidRPr="009F47EA" w:rsidSect="00D2366A">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BF76B" w14:textId="77777777" w:rsidR="00661F0C" w:rsidRDefault="00661F0C" w:rsidP="00A33001">
      <w:pPr>
        <w:spacing w:after="0" w:line="240" w:lineRule="auto"/>
      </w:pPr>
      <w:r>
        <w:separator/>
      </w:r>
    </w:p>
  </w:endnote>
  <w:endnote w:type="continuationSeparator" w:id="0">
    <w:p w14:paraId="0C04DF8E" w14:textId="77777777" w:rsidR="00661F0C" w:rsidRDefault="00661F0C" w:rsidP="00A33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LT Std 57 Cn">
    <w:altName w:val="Calibri"/>
    <w:panose1 w:val="00000000000000000000"/>
    <w:charset w:val="00"/>
    <w:family w:val="swiss"/>
    <w:notTrueType/>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C9E8A" w14:textId="77777777" w:rsidR="004E2EC8" w:rsidRDefault="004E2EC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7655"/>
      <w:gridCol w:w="1984"/>
    </w:tblGrid>
    <w:tr w:rsidR="004069F9" w:rsidRPr="008F5320" w14:paraId="7508C848" w14:textId="77777777" w:rsidTr="007643B0">
      <w:tc>
        <w:tcPr>
          <w:tcW w:w="675" w:type="dxa"/>
        </w:tcPr>
        <w:p w14:paraId="5E88653B" w14:textId="77777777" w:rsidR="004069F9" w:rsidRDefault="004069F9" w:rsidP="007643B0">
          <w:pPr>
            <w:pStyle w:val="Sidfot"/>
          </w:pPr>
          <w:r>
            <w:rPr>
              <w:noProof/>
              <w:lang w:val="fr-BE" w:eastAsia="fr-BE"/>
            </w:rPr>
            <w:drawing>
              <wp:anchor distT="0" distB="0" distL="114300" distR="114300" simplePos="0" relativeHeight="251657728" behindDoc="1" locked="0" layoutInCell="1" allowOverlap="1" wp14:anchorId="22E52F3F" wp14:editId="4D525496">
                <wp:simplePos x="0" y="0"/>
                <wp:positionH relativeFrom="column">
                  <wp:posOffset>36358</wp:posOffset>
                </wp:positionH>
                <wp:positionV relativeFrom="paragraph">
                  <wp:posOffset>-650240</wp:posOffset>
                </wp:positionV>
                <wp:extent cx="251530" cy="11334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colors_squares RGB x utilisation ecran_word.pn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250694" cy="1129707"/>
                        </a:xfrm>
                        <a:prstGeom prst="rect">
                          <a:avLst/>
                        </a:prstGeom>
                      </pic:spPr>
                    </pic:pic>
                  </a:graphicData>
                </a:graphic>
                <wp14:sizeRelH relativeFrom="margin">
                  <wp14:pctWidth>0</wp14:pctWidth>
                </wp14:sizeRelH>
                <wp14:sizeRelV relativeFrom="margin">
                  <wp14:pctHeight>0</wp14:pctHeight>
                </wp14:sizeRelV>
              </wp:anchor>
            </w:drawing>
          </w:r>
        </w:p>
      </w:tc>
      <w:tc>
        <w:tcPr>
          <w:tcW w:w="7655" w:type="dxa"/>
          <w:vAlign w:val="bottom"/>
        </w:tcPr>
        <w:p w14:paraId="31A06499" w14:textId="77777777" w:rsidR="004069F9" w:rsidRDefault="004069F9" w:rsidP="007643B0">
          <w:pPr>
            <w:pStyle w:val="Sidfot"/>
            <w:jc w:val="left"/>
            <w:rPr>
              <w:color w:val="007576" w:themeColor="accent1"/>
            </w:rPr>
          </w:pPr>
        </w:p>
        <w:p w14:paraId="71400517" w14:textId="77777777" w:rsidR="00D90023" w:rsidRDefault="00D90023" w:rsidP="007643B0">
          <w:pPr>
            <w:pStyle w:val="Sidfot"/>
            <w:jc w:val="left"/>
            <w:rPr>
              <w:color w:val="007576" w:themeColor="accent1"/>
            </w:rPr>
          </w:pPr>
        </w:p>
        <w:p w14:paraId="40103672" w14:textId="77777777" w:rsidR="00D90023" w:rsidRPr="008F5320" w:rsidRDefault="00D90023" w:rsidP="007643B0">
          <w:pPr>
            <w:pStyle w:val="Sidfot"/>
            <w:jc w:val="left"/>
            <w:rPr>
              <w:color w:val="007576" w:themeColor="accent1"/>
            </w:rPr>
          </w:pPr>
        </w:p>
      </w:tc>
      <w:tc>
        <w:tcPr>
          <w:tcW w:w="1984" w:type="dxa"/>
          <w:vAlign w:val="bottom"/>
        </w:tcPr>
        <w:p w14:paraId="49058D41" w14:textId="77777777" w:rsidR="004069F9" w:rsidRPr="007D71D5" w:rsidRDefault="004069F9" w:rsidP="007643B0">
          <w:pPr>
            <w:pStyle w:val="Sidfot"/>
            <w:jc w:val="right"/>
            <w:rPr>
              <w:b/>
            </w:rPr>
          </w:pPr>
          <w:r w:rsidRPr="007D71D5">
            <w:rPr>
              <w:rFonts w:ascii="Frutiger LT Std 57 Cn" w:hAnsi="Frutiger LT Std 57 Cn" w:cstheme="minorHAnsi"/>
              <w:b/>
              <w:color w:val="007576" w:themeColor="accent1"/>
            </w:rPr>
            <w:t>www.aise.eu</w:t>
          </w:r>
        </w:p>
      </w:tc>
    </w:tr>
  </w:tbl>
  <w:p w14:paraId="6CF871E8" w14:textId="77777777" w:rsidR="00A33001" w:rsidRDefault="00A3300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229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639"/>
      <w:gridCol w:w="1984"/>
    </w:tblGrid>
    <w:tr w:rsidR="00A33001" w:rsidRPr="008F5320" w14:paraId="360B2F4A" w14:textId="77777777" w:rsidTr="0089641D">
      <w:tc>
        <w:tcPr>
          <w:tcW w:w="675" w:type="dxa"/>
        </w:tcPr>
        <w:p w14:paraId="224E14AB" w14:textId="77777777" w:rsidR="00A33001" w:rsidRDefault="00A33001" w:rsidP="00A33001">
          <w:pPr>
            <w:pStyle w:val="Sidfot"/>
          </w:pPr>
          <w:r>
            <w:rPr>
              <w:noProof/>
              <w:lang w:val="fr-BE" w:eastAsia="fr-BE"/>
            </w:rPr>
            <w:drawing>
              <wp:anchor distT="0" distB="0" distL="114300" distR="114300" simplePos="0" relativeHeight="251656704" behindDoc="1" locked="0" layoutInCell="1" allowOverlap="1" wp14:anchorId="17F22780" wp14:editId="3FE20688">
                <wp:simplePos x="0" y="0"/>
                <wp:positionH relativeFrom="column">
                  <wp:posOffset>2540</wp:posOffset>
                </wp:positionH>
                <wp:positionV relativeFrom="paragraph">
                  <wp:posOffset>-810895</wp:posOffset>
                </wp:positionV>
                <wp:extent cx="284698" cy="1276350"/>
                <wp:effectExtent l="0" t="0" r="127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colors_squares RGB x utilisation ecran_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6705" cy="1285347"/>
                        </a:xfrm>
                        <a:prstGeom prst="rect">
                          <a:avLst/>
                        </a:prstGeom>
                      </pic:spPr>
                    </pic:pic>
                  </a:graphicData>
                </a:graphic>
                <wp14:sizeRelH relativeFrom="page">
                  <wp14:pctWidth>0</wp14:pctWidth>
                </wp14:sizeRelH>
                <wp14:sizeRelV relativeFrom="page">
                  <wp14:pctHeight>0</wp14:pctHeight>
                </wp14:sizeRelV>
              </wp:anchor>
            </w:drawing>
          </w:r>
        </w:p>
      </w:tc>
      <w:tc>
        <w:tcPr>
          <w:tcW w:w="9639" w:type="dxa"/>
          <w:vAlign w:val="bottom"/>
        </w:tcPr>
        <w:p w14:paraId="287BBB0A" w14:textId="77777777" w:rsidR="008F5320" w:rsidRPr="008F5320" w:rsidRDefault="00B309CA" w:rsidP="008F5320">
          <w:pPr>
            <w:pStyle w:val="Sidfot"/>
            <w:jc w:val="left"/>
            <w:rPr>
              <w:color w:val="007576" w:themeColor="accent1"/>
            </w:rPr>
          </w:pPr>
          <w:r>
            <w:rPr>
              <w:noProof/>
              <w:color w:val="007576" w:themeColor="accent1"/>
              <w:lang w:val="fr-BE" w:eastAsia="fr-BE"/>
            </w:rPr>
            <w:drawing>
              <wp:inline distT="0" distB="0" distL="0" distR="0" wp14:anchorId="5D216F9D" wp14:editId="66C3BC90">
                <wp:extent cx="6048375" cy="4772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adress-web.png"/>
                        <pic:cNvPicPr/>
                      </pic:nvPicPr>
                      <pic:blipFill>
                        <a:blip r:embed="rId2">
                          <a:extLst>
                            <a:ext uri="{28A0092B-C50C-407E-A947-70E740481C1C}">
                              <a14:useLocalDpi xmlns:a14="http://schemas.microsoft.com/office/drawing/2010/main" val="0"/>
                            </a:ext>
                          </a:extLst>
                        </a:blip>
                        <a:stretch>
                          <a:fillRect/>
                        </a:stretch>
                      </pic:blipFill>
                      <pic:spPr>
                        <a:xfrm>
                          <a:off x="0" y="0"/>
                          <a:ext cx="6048375" cy="477269"/>
                        </a:xfrm>
                        <a:prstGeom prst="rect">
                          <a:avLst/>
                        </a:prstGeom>
                      </pic:spPr>
                    </pic:pic>
                  </a:graphicData>
                </a:graphic>
              </wp:inline>
            </w:drawing>
          </w:r>
        </w:p>
      </w:tc>
      <w:tc>
        <w:tcPr>
          <w:tcW w:w="1984" w:type="dxa"/>
          <w:vAlign w:val="bottom"/>
        </w:tcPr>
        <w:p w14:paraId="2DC33D16" w14:textId="77777777" w:rsidR="00A33001" w:rsidRPr="008F5320" w:rsidRDefault="00A33001" w:rsidP="008F5320">
          <w:pPr>
            <w:pStyle w:val="Sidfot"/>
            <w:jc w:val="right"/>
            <w:rPr>
              <w:b/>
            </w:rPr>
          </w:pPr>
        </w:p>
      </w:tc>
    </w:tr>
  </w:tbl>
  <w:p w14:paraId="6621E97F" w14:textId="77777777" w:rsidR="00A33001" w:rsidRPr="00A816C7" w:rsidRDefault="00A33001" w:rsidP="008F5320">
    <w:pPr>
      <w:pStyle w:val="Sidfo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1604F" w14:textId="77777777" w:rsidR="00661F0C" w:rsidRDefault="00661F0C" w:rsidP="00A33001">
      <w:pPr>
        <w:spacing w:after="0" w:line="240" w:lineRule="auto"/>
      </w:pPr>
      <w:r>
        <w:separator/>
      </w:r>
    </w:p>
  </w:footnote>
  <w:footnote w:type="continuationSeparator" w:id="0">
    <w:p w14:paraId="15EF29FD" w14:textId="77777777" w:rsidR="00661F0C" w:rsidRDefault="00661F0C" w:rsidP="00A33001">
      <w:pPr>
        <w:spacing w:after="0" w:line="240" w:lineRule="auto"/>
      </w:pPr>
      <w:r>
        <w:continuationSeparator/>
      </w:r>
    </w:p>
  </w:footnote>
  <w:footnote w:id="1">
    <w:p w14:paraId="737BA43E" w14:textId="093BED82" w:rsidR="00C05E9A" w:rsidRDefault="00C05E9A">
      <w:pPr>
        <w:pStyle w:val="Fotnotstext"/>
      </w:pPr>
      <w:r>
        <w:rPr>
          <w:rStyle w:val="Fotnotsreferens"/>
        </w:rPr>
        <w:footnoteRef/>
      </w:r>
      <w:r>
        <w:t xml:space="preserve"> </w:t>
      </w:r>
      <w:hyperlink r:id="rId1" w:history="1">
        <w:r w:rsidR="00A34BC6" w:rsidRPr="004B6A29">
          <w:rPr>
            <w:rStyle w:val="Hyperlnk"/>
            <w:sz w:val="16"/>
            <w:szCs w:val="16"/>
          </w:rPr>
          <w:t>COMMISSION REGULATION (EU) …/… of XXX amending Annex XVII to Regulation (EC) No 1907/2006 of the European Parliament and of the Council concerning the Registration, Evaluation, Authorisation and Restriction of Chemicals (REACH) as regards synthetic polymer microparticles</w:t>
        </w:r>
      </w:hyperlink>
    </w:p>
  </w:footnote>
  <w:footnote w:id="2">
    <w:p w14:paraId="0B08C8C7" w14:textId="49A52C5F" w:rsidR="00B04868" w:rsidRDefault="00B04868">
      <w:pPr>
        <w:pStyle w:val="Fotnotstext"/>
      </w:pPr>
      <w:r>
        <w:rPr>
          <w:rStyle w:val="Fotnotsreferens"/>
        </w:rPr>
        <w:footnoteRef/>
      </w:r>
      <w:r>
        <w:t xml:space="preserve"> </w:t>
      </w:r>
      <w:r w:rsidR="00DF5903" w:rsidRPr="004B6A29">
        <w:rPr>
          <w:sz w:val="16"/>
          <w:szCs w:val="16"/>
        </w:rPr>
        <w:t xml:space="preserve">ECHA </w:t>
      </w:r>
      <w:hyperlink r:id="rId2" w:history="1">
        <w:r w:rsidR="00DF5903" w:rsidRPr="004B6A29">
          <w:rPr>
            <w:rStyle w:val="Hyperlnk"/>
            <w:sz w:val="16"/>
            <w:szCs w:val="16"/>
          </w:rPr>
          <w:t>Annex XV restriction report</w:t>
        </w:r>
      </w:hyperlink>
      <w:r w:rsidR="00DF5903" w:rsidRPr="004B6A29">
        <w:rPr>
          <w:sz w:val="16"/>
          <w:szCs w:val="16"/>
        </w:rPr>
        <w:t xml:space="preserve">, </w:t>
      </w:r>
      <w:r w:rsidR="008A3450" w:rsidRPr="004B6A29">
        <w:rPr>
          <w:sz w:val="16"/>
          <w:szCs w:val="16"/>
        </w:rPr>
        <w:t>2019</w:t>
      </w:r>
    </w:p>
  </w:footnote>
  <w:footnote w:id="3">
    <w:p w14:paraId="6531FED8" w14:textId="26B05314" w:rsidR="0025472B" w:rsidRPr="008A6F15" w:rsidRDefault="0025472B">
      <w:pPr>
        <w:pStyle w:val="Fotnotstext"/>
        <w:rPr>
          <w:i/>
          <w:iCs/>
          <w:sz w:val="18"/>
          <w:szCs w:val="18"/>
        </w:rPr>
      </w:pPr>
      <w:r>
        <w:rPr>
          <w:rStyle w:val="Fotnotsreferens"/>
        </w:rPr>
        <w:footnoteRef/>
      </w:r>
      <w:r>
        <w:t xml:space="preserve"> </w:t>
      </w:r>
      <w:r w:rsidR="008A6F15" w:rsidRPr="004B6A29">
        <w:rPr>
          <w:sz w:val="16"/>
          <w:szCs w:val="16"/>
        </w:rPr>
        <w:t xml:space="preserve">A </w:t>
      </w:r>
      <w:hyperlink r:id="rId3" w:history="1">
        <w:r w:rsidR="008A6F15" w:rsidRPr="004B6A29">
          <w:rPr>
            <w:rStyle w:val="Hyperlnk"/>
            <w:sz w:val="16"/>
            <w:szCs w:val="16"/>
          </w:rPr>
          <w:t>recent</w:t>
        </w:r>
        <w:r w:rsidRPr="004B6A29">
          <w:rPr>
            <w:rStyle w:val="Hyperlnk"/>
            <w:sz w:val="16"/>
            <w:szCs w:val="16"/>
          </w:rPr>
          <w:t xml:space="preserve"> study</w:t>
        </w:r>
      </w:hyperlink>
      <w:r w:rsidR="00811F7C" w:rsidRPr="004B6A29">
        <w:rPr>
          <w:sz w:val="16"/>
          <w:szCs w:val="16"/>
        </w:rPr>
        <w:t xml:space="preserve"> highlighted </w:t>
      </w:r>
      <w:r w:rsidR="008E2319" w:rsidRPr="004B6A29">
        <w:rPr>
          <w:sz w:val="16"/>
          <w:szCs w:val="16"/>
        </w:rPr>
        <w:t xml:space="preserve">the </w:t>
      </w:r>
      <w:r w:rsidR="0006388C" w:rsidRPr="004B6A29">
        <w:rPr>
          <w:sz w:val="16"/>
          <w:szCs w:val="16"/>
        </w:rPr>
        <w:t>analytical challenges</w:t>
      </w:r>
      <w:r w:rsidR="00811F7C" w:rsidRPr="004B6A29">
        <w:rPr>
          <w:sz w:val="16"/>
          <w:szCs w:val="16"/>
        </w:rPr>
        <w:t xml:space="preserve"> </w:t>
      </w:r>
      <w:r w:rsidR="00A81802" w:rsidRPr="004B6A29">
        <w:rPr>
          <w:sz w:val="16"/>
          <w:szCs w:val="16"/>
        </w:rPr>
        <w:t xml:space="preserve">created by </w:t>
      </w:r>
      <w:r w:rsidR="00C16708" w:rsidRPr="004B6A29">
        <w:rPr>
          <w:sz w:val="16"/>
          <w:szCs w:val="16"/>
        </w:rPr>
        <w:t xml:space="preserve">sample contamination </w:t>
      </w:r>
      <w:r w:rsidR="00EC65A1" w:rsidRPr="004B6A29">
        <w:rPr>
          <w:sz w:val="16"/>
          <w:szCs w:val="16"/>
        </w:rPr>
        <w:t>in the</w:t>
      </w:r>
      <w:r w:rsidR="00A81802" w:rsidRPr="004B6A29">
        <w:rPr>
          <w:sz w:val="16"/>
          <w:szCs w:val="16"/>
        </w:rPr>
        <w:t xml:space="preserve"> laboratory</w:t>
      </w:r>
      <w:r w:rsidR="00D57533" w:rsidRPr="004B6A29">
        <w:rPr>
          <w:sz w:val="16"/>
          <w:szCs w:val="16"/>
        </w:rPr>
        <w:t xml:space="preserve">, </w:t>
      </w:r>
      <w:r w:rsidR="00E87C92" w:rsidRPr="004B6A29">
        <w:rPr>
          <w:sz w:val="16"/>
          <w:szCs w:val="16"/>
        </w:rPr>
        <w:t xml:space="preserve">leading to false positive </w:t>
      </w:r>
      <w:r w:rsidR="00EC65A1" w:rsidRPr="004B6A29">
        <w:rPr>
          <w:sz w:val="16"/>
          <w:szCs w:val="16"/>
        </w:rPr>
        <w:t xml:space="preserve">detection of </w:t>
      </w:r>
      <w:r w:rsidR="00E87C92" w:rsidRPr="004B6A29">
        <w:rPr>
          <w:sz w:val="16"/>
          <w:szCs w:val="16"/>
        </w:rPr>
        <w:t>microplastic</w:t>
      </w:r>
      <w:r w:rsidR="00EC65A1" w:rsidRPr="004B6A29">
        <w:rPr>
          <w:sz w:val="16"/>
          <w:szCs w:val="16"/>
        </w:rPr>
        <w:t>s</w:t>
      </w:r>
      <w:r w:rsidR="00A81802" w:rsidRPr="004B6A29">
        <w:rPr>
          <w:sz w:val="16"/>
          <w:szCs w:val="16"/>
        </w:rPr>
        <w:t>.</w:t>
      </w:r>
      <w:r w:rsidR="00801D36" w:rsidRPr="004B6A29">
        <w:rPr>
          <w:sz w:val="16"/>
          <w:szCs w:val="16"/>
        </w:rPr>
        <w:t xml:space="preserve"> </w:t>
      </w:r>
    </w:p>
  </w:footnote>
  <w:footnote w:id="4">
    <w:p w14:paraId="2C6570BF" w14:textId="0BC6B08E" w:rsidR="00007FE6" w:rsidRPr="008A6F15" w:rsidRDefault="00007FE6" w:rsidP="00007FE6">
      <w:pPr>
        <w:pStyle w:val="Fotnotstext"/>
        <w:rPr>
          <w:sz w:val="18"/>
          <w:szCs w:val="18"/>
        </w:rPr>
      </w:pPr>
      <w:r w:rsidRPr="008A6F15">
        <w:rPr>
          <w:rStyle w:val="Fotnotsreferens"/>
          <w:sz w:val="18"/>
          <w:szCs w:val="18"/>
        </w:rPr>
        <w:footnoteRef/>
      </w:r>
      <w:r w:rsidRPr="008A6F15">
        <w:rPr>
          <w:sz w:val="18"/>
          <w:szCs w:val="18"/>
        </w:rPr>
        <w:t xml:space="preserve"> </w:t>
      </w:r>
      <w:r w:rsidRPr="00D41C31">
        <w:rPr>
          <w:i/>
          <w:iCs/>
          <w:sz w:val="16"/>
          <w:szCs w:val="16"/>
        </w:rPr>
        <w:t xml:space="preserve">Socio-economic analysis of the impacts of the proposed REACH restriction on intentionally added microplastics on the detergents and maintenance products sector, </w:t>
      </w:r>
      <w:proofErr w:type="spellStart"/>
      <w:r w:rsidRPr="00D41C31">
        <w:rPr>
          <w:sz w:val="16"/>
          <w:szCs w:val="16"/>
        </w:rPr>
        <w:t>eftec</w:t>
      </w:r>
      <w:proofErr w:type="spellEnd"/>
      <w:r w:rsidRPr="00D41C31">
        <w:rPr>
          <w:sz w:val="16"/>
          <w:szCs w:val="16"/>
        </w:rPr>
        <w:t xml:space="preserve"> for A.I.S.E., August 2020</w:t>
      </w:r>
      <w:r w:rsidR="0051401B">
        <w:rPr>
          <w:sz w:val="16"/>
          <w:szCs w:val="16"/>
        </w:rPr>
        <w:t xml:space="preserve"> (available in </w:t>
      </w:r>
      <w:hyperlink r:id="rId4" w:history="1">
        <w:r w:rsidR="00174C09" w:rsidRPr="00E50809">
          <w:rPr>
            <w:rStyle w:val="Hyperlnk"/>
            <w:sz w:val="16"/>
            <w:szCs w:val="16"/>
          </w:rPr>
          <w:t>comments on SEAC draft opinion</w:t>
        </w:r>
      </w:hyperlink>
      <w:r w:rsidR="00174C09">
        <w:rPr>
          <w:sz w:val="16"/>
          <w:szCs w:val="16"/>
        </w:rPr>
        <w:t>, #642)</w:t>
      </w:r>
    </w:p>
  </w:footnote>
  <w:footnote w:id="5">
    <w:p w14:paraId="15DA67ED" w14:textId="431C69AE" w:rsidR="00B93C6A" w:rsidRPr="00D41C31" w:rsidRDefault="00B93C6A">
      <w:pPr>
        <w:pStyle w:val="Fotnotstext"/>
        <w:rPr>
          <w:sz w:val="18"/>
          <w:szCs w:val="18"/>
        </w:rPr>
      </w:pPr>
      <w:r>
        <w:rPr>
          <w:rStyle w:val="Fotnotsreferens"/>
        </w:rPr>
        <w:footnoteRef/>
      </w:r>
      <w:r>
        <w:t xml:space="preserve"> </w:t>
      </w:r>
      <w:r w:rsidRPr="00D41C31">
        <w:rPr>
          <w:sz w:val="16"/>
          <w:szCs w:val="16"/>
        </w:rPr>
        <w:t xml:space="preserve">Paragraph </w:t>
      </w:r>
      <w:r w:rsidR="003A167B" w:rsidRPr="00D41C31">
        <w:rPr>
          <w:sz w:val="16"/>
          <w:szCs w:val="16"/>
        </w:rPr>
        <w:t>(</w:t>
      </w:r>
      <w:r w:rsidR="001F3AC5" w:rsidRPr="00D41C31">
        <w:rPr>
          <w:sz w:val="16"/>
          <w:szCs w:val="16"/>
        </w:rPr>
        <w:t>d</w:t>
      </w:r>
      <w:r w:rsidR="003A167B" w:rsidRPr="00D41C31">
        <w:rPr>
          <w:sz w:val="16"/>
          <w:szCs w:val="16"/>
        </w:rPr>
        <w:t>)</w:t>
      </w:r>
      <w:r w:rsidR="001F3AC5" w:rsidRPr="00D41C31">
        <w:rPr>
          <w:sz w:val="16"/>
          <w:szCs w:val="16"/>
        </w:rPr>
        <w:t xml:space="preserve"> </w:t>
      </w:r>
      <w:r w:rsidR="00607E06" w:rsidRPr="00D41C31">
        <w:rPr>
          <w:sz w:val="16"/>
          <w:szCs w:val="16"/>
        </w:rPr>
        <w:t xml:space="preserve">– </w:t>
      </w:r>
      <w:r w:rsidR="003A167B" w:rsidRPr="00D41C31">
        <w:rPr>
          <w:sz w:val="16"/>
          <w:szCs w:val="16"/>
        </w:rPr>
        <w:t xml:space="preserve">exclusion of </w:t>
      </w:r>
      <w:r w:rsidR="00607E06" w:rsidRPr="00D41C31">
        <w:rPr>
          <w:sz w:val="16"/>
          <w:szCs w:val="16"/>
        </w:rPr>
        <w:t xml:space="preserve">polymers </w:t>
      </w:r>
      <w:r w:rsidR="00AA55FA" w:rsidRPr="00D41C31">
        <w:rPr>
          <w:sz w:val="16"/>
          <w:szCs w:val="16"/>
        </w:rPr>
        <w:t xml:space="preserve">that do not contain </w:t>
      </w:r>
      <w:r w:rsidR="00EB11CB" w:rsidRPr="00D41C31">
        <w:rPr>
          <w:sz w:val="16"/>
          <w:szCs w:val="16"/>
        </w:rPr>
        <w:t xml:space="preserve">carbon </w:t>
      </w:r>
      <w:r w:rsidR="00AA55FA" w:rsidRPr="00D41C31">
        <w:rPr>
          <w:sz w:val="16"/>
          <w:szCs w:val="16"/>
        </w:rPr>
        <w:t xml:space="preserve">atoms </w:t>
      </w:r>
      <w:r w:rsidR="00EB11CB" w:rsidRPr="00D41C31">
        <w:rPr>
          <w:sz w:val="16"/>
          <w:szCs w:val="16"/>
        </w:rPr>
        <w:t xml:space="preserve">in their </w:t>
      </w:r>
      <w:r w:rsidR="00C31F0C" w:rsidRPr="00D41C31">
        <w:rPr>
          <w:sz w:val="16"/>
          <w:szCs w:val="16"/>
        </w:rPr>
        <w:t>chemical structure – is not thought to be relevant for A.I.S.E. members.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77A85" w14:textId="2586959E" w:rsidR="004E2EC8" w:rsidRDefault="004E2EC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03"/>
      <w:gridCol w:w="330"/>
      <w:gridCol w:w="3022"/>
    </w:tblGrid>
    <w:tr w:rsidR="004069F9" w14:paraId="4E01EE45" w14:textId="77777777" w:rsidTr="007643B0">
      <w:tc>
        <w:tcPr>
          <w:tcW w:w="6946" w:type="dxa"/>
        </w:tcPr>
        <w:p w14:paraId="14A13920" w14:textId="77777777" w:rsidR="004069F9" w:rsidRDefault="004069F9" w:rsidP="007643B0">
          <w:pPr>
            <w:pStyle w:val="Sidhuvud"/>
            <w:tabs>
              <w:tab w:val="clear" w:pos="4536"/>
            </w:tabs>
          </w:pPr>
        </w:p>
      </w:tc>
      <w:tc>
        <w:tcPr>
          <w:tcW w:w="336" w:type="dxa"/>
        </w:tcPr>
        <w:p w14:paraId="0819336E" w14:textId="77777777" w:rsidR="004069F9" w:rsidRDefault="004069F9" w:rsidP="007643B0">
          <w:pPr>
            <w:pStyle w:val="Sidhuvud"/>
          </w:pPr>
        </w:p>
      </w:tc>
      <w:tc>
        <w:tcPr>
          <w:tcW w:w="3173" w:type="dxa"/>
        </w:tcPr>
        <w:p w14:paraId="49D6BC48" w14:textId="77777777" w:rsidR="004069F9" w:rsidRDefault="004069F9" w:rsidP="007643B0">
          <w:pPr>
            <w:pStyle w:val="Sidhuvud"/>
            <w:jc w:val="right"/>
          </w:pPr>
        </w:p>
      </w:tc>
    </w:tr>
  </w:tbl>
  <w:p w14:paraId="3B1EBE49" w14:textId="3726A34B" w:rsidR="00A33001" w:rsidRDefault="00A33001">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8"/>
      <w:gridCol w:w="322"/>
      <w:gridCol w:w="2815"/>
    </w:tblGrid>
    <w:tr w:rsidR="00A816C7" w14:paraId="2168FA63" w14:textId="77777777" w:rsidTr="00BA3E31">
      <w:tc>
        <w:tcPr>
          <w:tcW w:w="6946" w:type="dxa"/>
        </w:tcPr>
        <w:p w14:paraId="5A54A7B5" w14:textId="77777777" w:rsidR="00A816C7" w:rsidRDefault="00A816C7" w:rsidP="00A816C7">
          <w:pPr>
            <w:pStyle w:val="Sidhuvud"/>
            <w:tabs>
              <w:tab w:val="clear" w:pos="4536"/>
            </w:tabs>
          </w:pPr>
          <w:r>
            <w:rPr>
              <w:noProof/>
              <w:lang w:val="fr-BE" w:eastAsia="fr-BE"/>
            </w:rPr>
            <w:drawing>
              <wp:inline distT="0" distB="0" distL="0" distR="0" wp14:anchorId="6A83CA05" wp14:editId="5CE9FF40">
                <wp:extent cx="3600000" cy="830720"/>
                <wp:effectExtent l="0" t="0" r="635"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logo-baseline_RGB x utilisation ecran_word.png"/>
                        <pic:cNvPicPr/>
                      </pic:nvPicPr>
                      <pic:blipFill>
                        <a:blip r:embed="rId1">
                          <a:extLst>
                            <a:ext uri="{28A0092B-C50C-407E-A947-70E740481C1C}">
                              <a14:useLocalDpi xmlns:a14="http://schemas.microsoft.com/office/drawing/2010/main" val="0"/>
                            </a:ext>
                          </a:extLst>
                        </a:blip>
                        <a:stretch>
                          <a:fillRect/>
                        </a:stretch>
                      </pic:blipFill>
                      <pic:spPr>
                        <a:xfrm>
                          <a:off x="0" y="0"/>
                          <a:ext cx="3600000" cy="830720"/>
                        </a:xfrm>
                        <a:prstGeom prst="rect">
                          <a:avLst/>
                        </a:prstGeom>
                      </pic:spPr>
                    </pic:pic>
                  </a:graphicData>
                </a:graphic>
              </wp:inline>
            </w:drawing>
          </w:r>
        </w:p>
      </w:tc>
      <w:tc>
        <w:tcPr>
          <w:tcW w:w="336" w:type="dxa"/>
        </w:tcPr>
        <w:p w14:paraId="7CB2BFF0" w14:textId="77777777" w:rsidR="00A816C7" w:rsidRDefault="00A816C7">
          <w:pPr>
            <w:pStyle w:val="Sidhuvud"/>
          </w:pPr>
        </w:p>
      </w:tc>
      <w:tc>
        <w:tcPr>
          <w:tcW w:w="3173" w:type="dxa"/>
        </w:tcPr>
        <w:p w14:paraId="707A5DAF" w14:textId="77777777" w:rsidR="00A816C7" w:rsidRDefault="00A816C7" w:rsidP="00A816C7">
          <w:pPr>
            <w:pStyle w:val="Sidhuvud"/>
            <w:jc w:val="right"/>
          </w:pPr>
        </w:p>
      </w:tc>
    </w:tr>
  </w:tbl>
  <w:p w14:paraId="535A6C86" w14:textId="148DF898" w:rsidR="00A33001" w:rsidRPr="00A816C7" w:rsidRDefault="00A33001">
    <w:pPr>
      <w:pStyle w:val="Sidhuvud"/>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C49370"/>
    <w:multiLevelType w:val="hybridMultilevel"/>
    <w:tmpl w:val="4EE8EB04"/>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AA3839"/>
    <w:multiLevelType w:val="hybridMultilevel"/>
    <w:tmpl w:val="891A1E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6042D4"/>
    <w:multiLevelType w:val="hybridMultilevel"/>
    <w:tmpl w:val="42FE69A4"/>
    <w:lvl w:ilvl="0" w:tplc="3E6896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A83431"/>
    <w:multiLevelType w:val="hybridMultilevel"/>
    <w:tmpl w:val="10A04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4959AE"/>
    <w:multiLevelType w:val="hybridMultilevel"/>
    <w:tmpl w:val="5A62BA0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0DD0188D"/>
    <w:multiLevelType w:val="hybridMultilevel"/>
    <w:tmpl w:val="03E6D75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FA50F83"/>
    <w:multiLevelType w:val="hybridMultilevel"/>
    <w:tmpl w:val="301AE35C"/>
    <w:lvl w:ilvl="0" w:tplc="B43035AA">
      <w:numFmt w:val="bullet"/>
      <w:lvlText w:val=""/>
      <w:lvlJc w:val="left"/>
      <w:pPr>
        <w:ind w:left="720" w:hanging="360"/>
      </w:pPr>
      <w:rPr>
        <w:rFonts w:ascii="Wingdings" w:eastAsia="Times New Roman" w:hAnsi="Wingdings" w:cs="Arial" w:hint="default"/>
        <w:i w:val="0"/>
        <w:color w:val="333333"/>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5C91679"/>
    <w:multiLevelType w:val="hybridMultilevel"/>
    <w:tmpl w:val="F58CB094"/>
    <w:lvl w:ilvl="0" w:tplc="7C3A40D8">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66B5936"/>
    <w:multiLevelType w:val="multilevel"/>
    <w:tmpl w:val="4B988B3E"/>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1B3F38"/>
    <w:multiLevelType w:val="multilevel"/>
    <w:tmpl w:val="9D705AB2"/>
    <w:lvl w:ilvl="0">
      <w:start w:val="1"/>
      <w:numFmt w:val="decimal"/>
      <w:pStyle w:val="AISELISTparticipants"/>
      <w:lvlText w:val="%1."/>
      <w:lvlJc w:val="left"/>
      <w:pPr>
        <w:ind w:left="360" w:hanging="360"/>
      </w:pPr>
      <w:rPr>
        <w:rFonts w:hint="default"/>
        <w:color w:val="007576" w:themeColor="text2"/>
      </w:rPr>
    </w:lvl>
    <w:lvl w:ilvl="1">
      <w:start w:val="1"/>
      <w:numFmt w:val="decimal"/>
      <w:lvlText w:val="%1.%2."/>
      <w:lvlJc w:val="left"/>
      <w:pPr>
        <w:tabs>
          <w:tab w:val="num" w:pos="284"/>
        </w:tabs>
        <w:ind w:left="207" w:firstLine="77"/>
      </w:pPr>
      <w:rPr>
        <w:rFonts w:ascii="Arial" w:hAnsi="Arial" w:hint="default"/>
        <w:b w:val="0"/>
        <w:bCs w:val="0"/>
        <w:i w:val="0"/>
        <w:iCs w:val="0"/>
        <w:color w:val="007576" w:themeColor="accent1"/>
      </w:rPr>
    </w:lvl>
    <w:lvl w:ilvl="2">
      <w:start w:val="1"/>
      <w:numFmt w:val="decimal"/>
      <w:lvlText w:val="%1.%2.%3."/>
      <w:lvlJc w:val="left"/>
      <w:pPr>
        <w:ind w:left="1224" w:hanging="504"/>
      </w:pPr>
      <w:rPr>
        <w:rFonts w:hint="default"/>
        <w:color w:val="00757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2311FB3"/>
    <w:multiLevelType w:val="hybridMultilevel"/>
    <w:tmpl w:val="9986464A"/>
    <w:lvl w:ilvl="0" w:tplc="8188B50E">
      <w:start w:val="1"/>
      <w:numFmt w:val="bullet"/>
      <w:lvlText w:val=""/>
      <w:lvlJc w:val="left"/>
      <w:pPr>
        <w:ind w:left="720" w:hanging="360"/>
      </w:pPr>
      <w:rPr>
        <w:rFonts w:ascii="Symbol" w:hAnsi="Symbol" w:hint="default"/>
        <w:color w:val="007576" w:themeColor="accent1"/>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44821AC"/>
    <w:multiLevelType w:val="multilevel"/>
    <w:tmpl w:val="FD8ECEC2"/>
    <w:lvl w:ilvl="0">
      <w:start w:val="1"/>
      <w:numFmt w:val="decimal"/>
      <w:lvlText w:val="%1."/>
      <w:lvlJc w:val="left"/>
      <w:pPr>
        <w:tabs>
          <w:tab w:val="num" w:pos="284"/>
        </w:tabs>
        <w:ind w:left="284" w:hanging="284"/>
      </w:pPr>
      <w:rPr>
        <w:rFonts w:hint="default"/>
      </w:rPr>
    </w:lvl>
    <w:lvl w:ilvl="1">
      <w:start w:val="1"/>
      <w:numFmt w:val="decimal"/>
      <w:pStyle w:val="AISESUBTITLE2"/>
      <w:lvlText w:val="%1.%2."/>
      <w:lvlJc w:val="left"/>
      <w:pPr>
        <w:tabs>
          <w:tab w:val="num" w:pos="567"/>
        </w:tabs>
        <w:ind w:left="567" w:hanging="283"/>
      </w:pPr>
      <w:rPr>
        <w:rFonts w:hint="default"/>
      </w:rPr>
    </w:lvl>
    <w:lvl w:ilvl="2">
      <w:start w:val="1"/>
      <w:numFmt w:val="decimal"/>
      <w:pStyle w:val="AISESUBTITLE3"/>
      <w:lvlText w:val="%2.%1.%3."/>
      <w:lvlJc w:val="left"/>
      <w:pPr>
        <w:tabs>
          <w:tab w:val="num" w:pos="851"/>
        </w:tabs>
        <w:ind w:left="851"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69848C5"/>
    <w:multiLevelType w:val="multilevel"/>
    <w:tmpl w:val="21F03614"/>
    <w:lvl w:ilvl="0">
      <w:start w:val="1"/>
      <w:numFmt w:val="decimal"/>
      <w:pStyle w:val="AISESUBTITLE1"/>
      <w:lvlText w:val="%1."/>
      <w:lvlJc w:val="left"/>
      <w:pPr>
        <w:tabs>
          <w:tab w:val="num" w:pos="284"/>
        </w:tabs>
        <w:ind w:left="284" w:hanging="284"/>
      </w:pPr>
      <w:rPr>
        <w:rFonts w:hint="default"/>
        <w:color w:val="007576" w:themeColor="text2"/>
      </w:rPr>
    </w:lvl>
    <w:lvl w:ilvl="1">
      <w:start w:val="1"/>
      <w:numFmt w:val="decimal"/>
      <w:lvlText w:val="%1.%2."/>
      <w:lvlJc w:val="left"/>
      <w:pPr>
        <w:tabs>
          <w:tab w:val="num" w:pos="567"/>
        </w:tabs>
        <w:ind w:left="567" w:firstLine="0"/>
      </w:pPr>
      <w:rPr>
        <w:rFonts w:ascii="Helvetica" w:hAnsi="Helvetica" w:hint="default"/>
        <w:b w:val="0"/>
        <w:bCs w:val="0"/>
        <w:i w:val="0"/>
        <w:iCs w:val="0"/>
        <w:color w:val="002060" w:themeColor="accent6"/>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3" w15:restartNumberingAfterBreak="0">
    <w:nsid w:val="57CC71D0"/>
    <w:multiLevelType w:val="hybridMultilevel"/>
    <w:tmpl w:val="F142266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F377935"/>
    <w:multiLevelType w:val="hybridMultilevel"/>
    <w:tmpl w:val="895C0776"/>
    <w:lvl w:ilvl="0" w:tplc="0809001B">
      <w:start w:val="1"/>
      <w:numFmt w:val="lowerRoman"/>
      <w:lvlText w:val="%1."/>
      <w:lvlJc w:val="righ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5" w15:restartNumberingAfterBreak="0">
    <w:nsid w:val="625C2D32"/>
    <w:multiLevelType w:val="hybridMultilevel"/>
    <w:tmpl w:val="8F24CEAE"/>
    <w:lvl w:ilvl="0" w:tplc="20000001">
      <w:start w:val="1"/>
      <w:numFmt w:val="bullet"/>
      <w:lvlText w:val=""/>
      <w:lvlJc w:val="left"/>
      <w:pPr>
        <w:ind w:left="-351" w:hanging="360"/>
      </w:pPr>
      <w:rPr>
        <w:rFonts w:ascii="Symbol" w:hAnsi="Symbol" w:hint="default"/>
      </w:rPr>
    </w:lvl>
    <w:lvl w:ilvl="1" w:tplc="20000003" w:tentative="1">
      <w:start w:val="1"/>
      <w:numFmt w:val="bullet"/>
      <w:lvlText w:val="o"/>
      <w:lvlJc w:val="left"/>
      <w:pPr>
        <w:ind w:left="369" w:hanging="360"/>
      </w:pPr>
      <w:rPr>
        <w:rFonts w:ascii="Courier New" w:hAnsi="Courier New" w:cs="Courier New" w:hint="default"/>
      </w:rPr>
    </w:lvl>
    <w:lvl w:ilvl="2" w:tplc="20000005" w:tentative="1">
      <w:start w:val="1"/>
      <w:numFmt w:val="bullet"/>
      <w:lvlText w:val=""/>
      <w:lvlJc w:val="left"/>
      <w:pPr>
        <w:ind w:left="1089" w:hanging="360"/>
      </w:pPr>
      <w:rPr>
        <w:rFonts w:ascii="Wingdings" w:hAnsi="Wingdings" w:hint="default"/>
      </w:rPr>
    </w:lvl>
    <w:lvl w:ilvl="3" w:tplc="20000001" w:tentative="1">
      <w:start w:val="1"/>
      <w:numFmt w:val="bullet"/>
      <w:lvlText w:val=""/>
      <w:lvlJc w:val="left"/>
      <w:pPr>
        <w:ind w:left="1809" w:hanging="360"/>
      </w:pPr>
      <w:rPr>
        <w:rFonts w:ascii="Symbol" w:hAnsi="Symbol" w:hint="default"/>
      </w:rPr>
    </w:lvl>
    <w:lvl w:ilvl="4" w:tplc="20000003" w:tentative="1">
      <w:start w:val="1"/>
      <w:numFmt w:val="bullet"/>
      <w:lvlText w:val="o"/>
      <w:lvlJc w:val="left"/>
      <w:pPr>
        <w:ind w:left="2529" w:hanging="360"/>
      </w:pPr>
      <w:rPr>
        <w:rFonts w:ascii="Courier New" w:hAnsi="Courier New" w:cs="Courier New" w:hint="default"/>
      </w:rPr>
    </w:lvl>
    <w:lvl w:ilvl="5" w:tplc="20000005" w:tentative="1">
      <w:start w:val="1"/>
      <w:numFmt w:val="bullet"/>
      <w:lvlText w:val=""/>
      <w:lvlJc w:val="left"/>
      <w:pPr>
        <w:ind w:left="3249" w:hanging="360"/>
      </w:pPr>
      <w:rPr>
        <w:rFonts w:ascii="Wingdings" w:hAnsi="Wingdings" w:hint="default"/>
      </w:rPr>
    </w:lvl>
    <w:lvl w:ilvl="6" w:tplc="20000001" w:tentative="1">
      <w:start w:val="1"/>
      <w:numFmt w:val="bullet"/>
      <w:lvlText w:val=""/>
      <w:lvlJc w:val="left"/>
      <w:pPr>
        <w:ind w:left="3969" w:hanging="360"/>
      </w:pPr>
      <w:rPr>
        <w:rFonts w:ascii="Symbol" w:hAnsi="Symbol" w:hint="default"/>
      </w:rPr>
    </w:lvl>
    <w:lvl w:ilvl="7" w:tplc="20000003" w:tentative="1">
      <w:start w:val="1"/>
      <w:numFmt w:val="bullet"/>
      <w:lvlText w:val="o"/>
      <w:lvlJc w:val="left"/>
      <w:pPr>
        <w:ind w:left="4689" w:hanging="360"/>
      </w:pPr>
      <w:rPr>
        <w:rFonts w:ascii="Courier New" w:hAnsi="Courier New" w:cs="Courier New" w:hint="default"/>
      </w:rPr>
    </w:lvl>
    <w:lvl w:ilvl="8" w:tplc="20000005" w:tentative="1">
      <w:start w:val="1"/>
      <w:numFmt w:val="bullet"/>
      <w:lvlText w:val=""/>
      <w:lvlJc w:val="left"/>
      <w:pPr>
        <w:ind w:left="5409" w:hanging="360"/>
      </w:pPr>
      <w:rPr>
        <w:rFonts w:ascii="Wingdings" w:hAnsi="Wingdings" w:hint="default"/>
      </w:rPr>
    </w:lvl>
  </w:abstractNum>
  <w:abstractNum w:abstractNumId="16" w15:restartNumberingAfterBreak="0">
    <w:nsid w:val="66E828B7"/>
    <w:multiLevelType w:val="hybridMultilevel"/>
    <w:tmpl w:val="661EE44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D550A2C"/>
    <w:multiLevelType w:val="hybridMultilevel"/>
    <w:tmpl w:val="5182CBA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538780545">
    <w:abstractNumId w:val="9"/>
  </w:num>
  <w:num w:numId="2" w16cid:durableId="1997880124">
    <w:abstractNumId w:val="11"/>
  </w:num>
  <w:num w:numId="3" w16cid:durableId="41248497">
    <w:abstractNumId w:val="11"/>
  </w:num>
  <w:num w:numId="4" w16cid:durableId="1361201350">
    <w:abstractNumId w:val="12"/>
  </w:num>
  <w:num w:numId="5" w16cid:durableId="2070035374">
    <w:abstractNumId w:val="10"/>
  </w:num>
  <w:num w:numId="6" w16cid:durableId="1677075350">
    <w:abstractNumId w:val="9"/>
  </w:num>
  <w:num w:numId="7" w16cid:durableId="1187326464">
    <w:abstractNumId w:val="11"/>
  </w:num>
  <w:num w:numId="8" w16cid:durableId="1657563263">
    <w:abstractNumId w:val="11"/>
  </w:num>
  <w:num w:numId="9" w16cid:durableId="1970428499">
    <w:abstractNumId w:val="12"/>
  </w:num>
  <w:num w:numId="10" w16cid:durableId="1554343182">
    <w:abstractNumId w:val="8"/>
  </w:num>
  <w:num w:numId="11" w16cid:durableId="736517824">
    <w:abstractNumId w:val="6"/>
  </w:num>
  <w:num w:numId="12" w16cid:durableId="1819877996">
    <w:abstractNumId w:val="17"/>
  </w:num>
  <w:num w:numId="13" w16cid:durableId="366223043">
    <w:abstractNumId w:val="0"/>
  </w:num>
  <w:num w:numId="14" w16cid:durableId="284192320">
    <w:abstractNumId w:val="16"/>
  </w:num>
  <w:num w:numId="15" w16cid:durableId="191653289">
    <w:abstractNumId w:val="14"/>
  </w:num>
  <w:num w:numId="16" w16cid:durableId="1362240843">
    <w:abstractNumId w:val="2"/>
  </w:num>
  <w:num w:numId="17" w16cid:durableId="1929190189">
    <w:abstractNumId w:val="1"/>
  </w:num>
  <w:num w:numId="18" w16cid:durableId="1654750785">
    <w:abstractNumId w:val="13"/>
  </w:num>
  <w:num w:numId="19" w16cid:durableId="1837647399">
    <w:abstractNumId w:val="3"/>
  </w:num>
  <w:num w:numId="20" w16cid:durableId="1517161001">
    <w:abstractNumId w:val="4"/>
  </w:num>
  <w:num w:numId="21" w16cid:durableId="1702437720">
    <w:abstractNumId w:val="7"/>
  </w:num>
  <w:num w:numId="22" w16cid:durableId="1444767900">
    <w:abstractNumId w:val="15"/>
  </w:num>
  <w:num w:numId="23" w16cid:durableId="4053474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AC8"/>
    <w:rsid w:val="00000CF7"/>
    <w:rsid w:val="0000208D"/>
    <w:rsid w:val="0000616B"/>
    <w:rsid w:val="00007FE6"/>
    <w:rsid w:val="0001008D"/>
    <w:rsid w:val="0001463D"/>
    <w:rsid w:val="00014790"/>
    <w:rsid w:val="00016311"/>
    <w:rsid w:val="000165FF"/>
    <w:rsid w:val="00022065"/>
    <w:rsid w:val="00031C4E"/>
    <w:rsid w:val="00031C92"/>
    <w:rsid w:val="00036A95"/>
    <w:rsid w:val="00037C2F"/>
    <w:rsid w:val="000414E6"/>
    <w:rsid w:val="000455AB"/>
    <w:rsid w:val="0004637D"/>
    <w:rsid w:val="00050810"/>
    <w:rsid w:val="00052AC2"/>
    <w:rsid w:val="0005688A"/>
    <w:rsid w:val="00057864"/>
    <w:rsid w:val="000617B8"/>
    <w:rsid w:val="00062612"/>
    <w:rsid w:val="0006276D"/>
    <w:rsid w:val="00062881"/>
    <w:rsid w:val="0006388C"/>
    <w:rsid w:val="000646A6"/>
    <w:rsid w:val="00064AD5"/>
    <w:rsid w:val="00067D92"/>
    <w:rsid w:val="000754F0"/>
    <w:rsid w:val="0008134C"/>
    <w:rsid w:val="00082A1F"/>
    <w:rsid w:val="0008406F"/>
    <w:rsid w:val="00085C73"/>
    <w:rsid w:val="00086993"/>
    <w:rsid w:val="000869DF"/>
    <w:rsid w:val="00093255"/>
    <w:rsid w:val="0009391D"/>
    <w:rsid w:val="00094402"/>
    <w:rsid w:val="00097654"/>
    <w:rsid w:val="00097718"/>
    <w:rsid w:val="000A0C19"/>
    <w:rsid w:val="000A0C8B"/>
    <w:rsid w:val="000A20B9"/>
    <w:rsid w:val="000A6821"/>
    <w:rsid w:val="000B04CC"/>
    <w:rsid w:val="000B04CD"/>
    <w:rsid w:val="000B19E8"/>
    <w:rsid w:val="000B4A10"/>
    <w:rsid w:val="000B72BD"/>
    <w:rsid w:val="000C3C53"/>
    <w:rsid w:val="000C6627"/>
    <w:rsid w:val="000D08C3"/>
    <w:rsid w:val="000D2312"/>
    <w:rsid w:val="000D3986"/>
    <w:rsid w:val="000D7BD3"/>
    <w:rsid w:val="000E36AB"/>
    <w:rsid w:val="000E7EBA"/>
    <w:rsid w:val="000F0CD1"/>
    <w:rsid w:val="000F479C"/>
    <w:rsid w:val="001014C5"/>
    <w:rsid w:val="0010651E"/>
    <w:rsid w:val="00111D76"/>
    <w:rsid w:val="00115B5B"/>
    <w:rsid w:val="00122251"/>
    <w:rsid w:val="00122C7A"/>
    <w:rsid w:val="001271BB"/>
    <w:rsid w:val="00131EF1"/>
    <w:rsid w:val="00131F6C"/>
    <w:rsid w:val="00142AC2"/>
    <w:rsid w:val="00147F64"/>
    <w:rsid w:val="001574D2"/>
    <w:rsid w:val="00162FC1"/>
    <w:rsid w:val="00163F57"/>
    <w:rsid w:val="00165B04"/>
    <w:rsid w:val="0016787A"/>
    <w:rsid w:val="00174250"/>
    <w:rsid w:val="00174C09"/>
    <w:rsid w:val="00176657"/>
    <w:rsid w:val="00177FD3"/>
    <w:rsid w:val="00181440"/>
    <w:rsid w:val="00186229"/>
    <w:rsid w:val="00193EE3"/>
    <w:rsid w:val="001956BB"/>
    <w:rsid w:val="00196239"/>
    <w:rsid w:val="001A030D"/>
    <w:rsid w:val="001A2312"/>
    <w:rsid w:val="001A3377"/>
    <w:rsid w:val="001A5E76"/>
    <w:rsid w:val="001A77A6"/>
    <w:rsid w:val="001B177E"/>
    <w:rsid w:val="001B406E"/>
    <w:rsid w:val="001B50A4"/>
    <w:rsid w:val="001B5E38"/>
    <w:rsid w:val="001C11A7"/>
    <w:rsid w:val="001C2B57"/>
    <w:rsid w:val="001C51B3"/>
    <w:rsid w:val="001C5201"/>
    <w:rsid w:val="001D7246"/>
    <w:rsid w:val="001E03B3"/>
    <w:rsid w:val="001E1645"/>
    <w:rsid w:val="001E2FAF"/>
    <w:rsid w:val="001E3E8A"/>
    <w:rsid w:val="001F0FCB"/>
    <w:rsid w:val="001F1291"/>
    <w:rsid w:val="001F2BAE"/>
    <w:rsid w:val="001F3AC5"/>
    <w:rsid w:val="00204B98"/>
    <w:rsid w:val="00205155"/>
    <w:rsid w:val="002067EE"/>
    <w:rsid w:val="00225C0F"/>
    <w:rsid w:val="00233F1F"/>
    <w:rsid w:val="002358F6"/>
    <w:rsid w:val="0023679E"/>
    <w:rsid w:val="002430D0"/>
    <w:rsid w:val="0024317A"/>
    <w:rsid w:val="002450BA"/>
    <w:rsid w:val="00245CEE"/>
    <w:rsid w:val="00250544"/>
    <w:rsid w:val="00250886"/>
    <w:rsid w:val="00252328"/>
    <w:rsid w:val="00252CA2"/>
    <w:rsid w:val="00253185"/>
    <w:rsid w:val="0025472B"/>
    <w:rsid w:val="00255D38"/>
    <w:rsid w:val="00262796"/>
    <w:rsid w:val="00263F1C"/>
    <w:rsid w:val="00265005"/>
    <w:rsid w:val="00266D90"/>
    <w:rsid w:val="00271A9C"/>
    <w:rsid w:val="0027316E"/>
    <w:rsid w:val="00273717"/>
    <w:rsid w:val="00274B36"/>
    <w:rsid w:val="00282AFE"/>
    <w:rsid w:val="0028314D"/>
    <w:rsid w:val="002838E8"/>
    <w:rsid w:val="00294092"/>
    <w:rsid w:val="00294926"/>
    <w:rsid w:val="0029774B"/>
    <w:rsid w:val="002A1EC2"/>
    <w:rsid w:val="002A4F0B"/>
    <w:rsid w:val="002A705E"/>
    <w:rsid w:val="002B0C55"/>
    <w:rsid w:val="002B3C2D"/>
    <w:rsid w:val="002B7F9E"/>
    <w:rsid w:val="002C052D"/>
    <w:rsid w:val="002C6755"/>
    <w:rsid w:val="002D02CA"/>
    <w:rsid w:val="002D3ECE"/>
    <w:rsid w:val="002D4416"/>
    <w:rsid w:val="002D4F57"/>
    <w:rsid w:val="002E0D07"/>
    <w:rsid w:val="002E0DD4"/>
    <w:rsid w:val="002E0E1F"/>
    <w:rsid w:val="002E17C1"/>
    <w:rsid w:val="002E23BC"/>
    <w:rsid w:val="002E2A9F"/>
    <w:rsid w:val="002E55D5"/>
    <w:rsid w:val="002F5C31"/>
    <w:rsid w:val="002F67FF"/>
    <w:rsid w:val="002F7FFE"/>
    <w:rsid w:val="0030075F"/>
    <w:rsid w:val="00303577"/>
    <w:rsid w:val="00304524"/>
    <w:rsid w:val="00311070"/>
    <w:rsid w:val="003136B1"/>
    <w:rsid w:val="0032125A"/>
    <w:rsid w:val="003212A3"/>
    <w:rsid w:val="00321981"/>
    <w:rsid w:val="0032206C"/>
    <w:rsid w:val="003227D7"/>
    <w:rsid w:val="003241D8"/>
    <w:rsid w:val="0032458B"/>
    <w:rsid w:val="00325EBF"/>
    <w:rsid w:val="0032684A"/>
    <w:rsid w:val="00330372"/>
    <w:rsid w:val="003313CE"/>
    <w:rsid w:val="003349EB"/>
    <w:rsid w:val="00335E75"/>
    <w:rsid w:val="00337669"/>
    <w:rsid w:val="00342827"/>
    <w:rsid w:val="00343183"/>
    <w:rsid w:val="00346D24"/>
    <w:rsid w:val="003474CF"/>
    <w:rsid w:val="003512ED"/>
    <w:rsid w:val="00357342"/>
    <w:rsid w:val="00364C9F"/>
    <w:rsid w:val="00365691"/>
    <w:rsid w:val="00366007"/>
    <w:rsid w:val="00370CB3"/>
    <w:rsid w:val="00381240"/>
    <w:rsid w:val="00381A88"/>
    <w:rsid w:val="0038208F"/>
    <w:rsid w:val="00386083"/>
    <w:rsid w:val="003920F9"/>
    <w:rsid w:val="00392C65"/>
    <w:rsid w:val="00394734"/>
    <w:rsid w:val="003A167B"/>
    <w:rsid w:val="003A64A3"/>
    <w:rsid w:val="003A64BC"/>
    <w:rsid w:val="003A7ED9"/>
    <w:rsid w:val="003B3CB3"/>
    <w:rsid w:val="003C1A26"/>
    <w:rsid w:val="003C2751"/>
    <w:rsid w:val="003C496F"/>
    <w:rsid w:val="003C535F"/>
    <w:rsid w:val="003D0A7A"/>
    <w:rsid w:val="003D69E3"/>
    <w:rsid w:val="003E1FF6"/>
    <w:rsid w:val="003E33AE"/>
    <w:rsid w:val="003E64FD"/>
    <w:rsid w:val="003E6CD9"/>
    <w:rsid w:val="003E7005"/>
    <w:rsid w:val="003F0038"/>
    <w:rsid w:val="003F069C"/>
    <w:rsid w:val="003F1690"/>
    <w:rsid w:val="003F480A"/>
    <w:rsid w:val="003F4813"/>
    <w:rsid w:val="00400B1F"/>
    <w:rsid w:val="00402337"/>
    <w:rsid w:val="00402639"/>
    <w:rsid w:val="00402A06"/>
    <w:rsid w:val="004032FB"/>
    <w:rsid w:val="00405A4D"/>
    <w:rsid w:val="004069F9"/>
    <w:rsid w:val="00406E07"/>
    <w:rsid w:val="00411208"/>
    <w:rsid w:val="00415692"/>
    <w:rsid w:val="00424E4C"/>
    <w:rsid w:val="004252DF"/>
    <w:rsid w:val="00426D3D"/>
    <w:rsid w:val="00435E61"/>
    <w:rsid w:val="004368B3"/>
    <w:rsid w:val="00437BB6"/>
    <w:rsid w:val="004433CA"/>
    <w:rsid w:val="00443D4E"/>
    <w:rsid w:val="0045111E"/>
    <w:rsid w:val="00452244"/>
    <w:rsid w:val="00456A60"/>
    <w:rsid w:val="00460798"/>
    <w:rsid w:val="00461CBB"/>
    <w:rsid w:val="00463C28"/>
    <w:rsid w:val="004702FF"/>
    <w:rsid w:val="00470478"/>
    <w:rsid w:val="0047153C"/>
    <w:rsid w:val="00474AA8"/>
    <w:rsid w:val="00481F60"/>
    <w:rsid w:val="0048247D"/>
    <w:rsid w:val="00482732"/>
    <w:rsid w:val="00482B67"/>
    <w:rsid w:val="00486599"/>
    <w:rsid w:val="00490C40"/>
    <w:rsid w:val="0049173B"/>
    <w:rsid w:val="004950FD"/>
    <w:rsid w:val="00495F50"/>
    <w:rsid w:val="00496534"/>
    <w:rsid w:val="004A45DA"/>
    <w:rsid w:val="004A5CB3"/>
    <w:rsid w:val="004A67CB"/>
    <w:rsid w:val="004B1DC5"/>
    <w:rsid w:val="004B2EDF"/>
    <w:rsid w:val="004B4ADD"/>
    <w:rsid w:val="004B659B"/>
    <w:rsid w:val="004B6A29"/>
    <w:rsid w:val="004B715B"/>
    <w:rsid w:val="004B7902"/>
    <w:rsid w:val="004C4969"/>
    <w:rsid w:val="004C554B"/>
    <w:rsid w:val="004D31BE"/>
    <w:rsid w:val="004D5501"/>
    <w:rsid w:val="004D5E6D"/>
    <w:rsid w:val="004E0BB9"/>
    <w:rsid w:val="004E2EC8"/>
    <w:rsid w:val="004E501B"/>
    <w:rsid w:val="004E6A16"/>
    <w:rsid w:val="004E7411"/>
    <w:rsid w:val="004F4518"/>
    <w:rsid w:val="004F48DC"/>
    <w:rsid w:val="004F61D5"/>
    <w:rsid w:val="004F6DCC"/>
    <w:rsid w:val="004F6ED6"/>
    <w:rsid w:val="004F6FF6"/>
    <w:rsid w:val="004F766A"/>
    <w:rsid w:val="005022D9"/>
    <w:rsid w:val="00502ACF"/>
    <w:rsid w:val="00503FD5"/>
    <w:rsid w:val="00507556"/>
    <w:rsid w:val="005101D3"/>
    <w:rsid w:val="0051401B"/>
    <w:rsid w:val="005141C6"/>
    <w:rsid w:val="00516AA8"/>
    <w:rsid w:val="0052370F"/>
    <w:rsid w:val="00523EE0"/>
    <w:rsid w:val="005271E0"/>
    <w:rsid w:val="00527630"/>
    <w:rsid w:val="00527A37"/>
    <w:rsid w:val="005331E6"/>
    <w:rsid w:val="005351A9"/>
    <w:rsid w:val="00540BFD"/>
    <w:rsid w:val="00542379"/>
    <w:rsid w:val="00550238"/>
    <w:rsid w:val="005510E7"/>
    <w:rsid w:val="0055217F"/>
    <w:rsid w:val="005558BA"/>
    <w:rsid w:val="00557B28"/>
    <w:rsid w:val="005633A0"/>
    <w:rsid w:val="00563DDC"/>
    <w:rsid w:val="0056642C"/>
    <w:rsid w:val="0056663A"/>
    <w:rsid w:val="005666DB"/>
    <w:rsid w:val="00581E1A"/>
    <w:rsid w:val="00586D78"/>
    <w:rsid w:val="00587B10"/>
    <w:rsid w:val="00591975"/>
    <w:rsid w:val="00591BB3"/>
    <w:rsid w:val="005927E3"/>
    <w:rsid w:val="005970CD"/>
    <w:rsid w:val="005A17F4"/>
    <w:rsid w:val="005A400E"/>
    <w:rsid w:val="005A7B99"/>
    <w:rsid w:val="005B1FFA"/>
    <w:rsid w:val="005B73A0"/>
    <w:rsid w:val="005C7C15"/>
    <w:rsid w:val="005D29F2"/>
    <w:rsid w:val="005D2F21"/>
    <w:rsid w:val="005D6D65"/>
    <w:rsid w:val="005E16DD"/>
    <w:rsid w:val="005E29A5"/>
    <w:rsid w:val="005E32DD"/>
    <w:rsid w:val="005E3443"/>
    <w:rsid w:val="005E3E88"/>
    <w:rsid w:val="005E53FB"/>
    <w:rsid w:val="005F0465"/>
    <w:rsid w:val="005F0DAC"/>
    <w:rsid w:val="005F2A1D"/>
    <w:rsid w:val="005F4411"/>
    <w:rsid w:val="005F4BCA"/>
    <w:rsid w:val="005F4E52"/>
    <w:rsid w:val="0060049F"/>
    <w:rsid w:val="006064A0"/>
    <w:rsid w:val="006065A3"/>
    <w:rsid w:val="0060684A"/>
    <w:rsid w:val="00607E06"/>
    <w:rsid w:val="00615413"/>
    <w:rsid w:val="00621A98"/>
    <w:rsid w:val="006261B7"/>
    <w:rsid w:val="006301D9"/>
    <w:rsid w:val="00632A95"/>
    <w:rsid w:val="00633960"/>
    <w:rsid w:val="006401E1"/>
    <w:rsid w:val="00643300"/>
    <w:rsid w:val="00643683"/>
    <w:rsid w:val="00645284"/>
    <w:rsid w:val="00646349"/>
    <w:rsid w:val="0064646C"/>
    <w:rsid w:val="0064789C"/>
    <w:rsid w:val="00653C9E"/>
    <w:rsid w:val="00654141"/>
    <w:rsid w:val="0065536A"/>
    <w:rsid w:val="00656A9A"/>
    <w:rsid w:val="006577D4"/>
    <w:rsid w:val="006603C8"/>
    <w:rsid w:val="0066187D"/>
    <w:rsid w:val="00661F0C"/>
    <w:rsid w:val="0066295A"/>
    <w:rsid w:val="006645D4"/>
    <w:rsid w:val="00665157"/>
    <w:rsid w:val="00666E36"/>
    <w:rsid w:val="00685D5C"/>
    <w:rsid w:val="0068754E"/>
    <w:rsid w:val="006903A6"/>
    <w:rsid w:val="0069173E"/>
    <w:rsid w:val="006936EB"/>
    <w:rsid w:val="00693AAD"/>
    <w:rsid w:val="006947DF"/>
    <w:rsid w:val="006A2AE6"/>
    <w:rsid w:val="006A437B"/>
    <w:rsid w:val="006B44D4"/>
    <w:rsid w:val="006B5AC8"/>
    <w:rsid w:val="006B5F96"/>
    <w:rsid w:val="006B6828"/>
    <w:rsid w:val="006B7BA8"/>
    <w:rsid w:val="006C2F26"/>
    <w:rsid w:val="006C3A6F"/>
    <w:rsid w:val="006C7AD2"/>
    <w:rsid w:val="006C7BBF"/>
    <w:rsid w:val="006D16E7"/>
    <w:rsid w:val="006D1B00"/>
    <w:rsid w:val="006D6692"/>
    <w:rsid w:val="006E660D"/>
    <w:rsid w:val="006F0B43"/>
    <w:rsid w:val="006F1FAA"/>
    <w:rsid w:val="006F52DB"/>
    <w:rsid w:val="00701E6A"/>
    <w:rsid w:val="007024CC"/>
    <w:rsid w:val="00703ADF"/>
    <w:rsid w:val="00706471"/>
    <w:rsid w:val="00706A1D"/>
    <w:rsid w:val="00712486"/>
    <w:rsid w:val="007146EB"/>
    <w:rsid w:val="00717296"/>
    <w:rsid w:val="00721285"/>
    <w:rsid w:val="0072258E"/>
    <w:rsid w:val="007249ED"/>
    <w:rsid w:val="00725E59"/>
    <w:rsid w:val="00726552"/>
    <w:rsid w:val="00730097"/>
    <w:rsid w:val="007320E4"/>
    <w:rsid w:val="0073609D"/>
    <w:rsid w:val="0073662C"/>
    <w:rsid w:val="0074100A"/>
    <w:rsid w:val="00742154"/>
    <w:rsid w:val="00747ED4"/>
    <w:rsid w:val="00756321"/>
    <w:rsid w:val="00762702"/>
    <w:rsid w:val="00775155"/>
    <w:rsid w:val="00777D49"/>
    <w:rsid w:val="0078008A"/>
    <w:rsid w:val="007817AE"/>
    <w:rsid w:val="00783626"/>
    <w:rsid w:val="0078531E"/>
    <w:rsid w:val="00791D32"/>
    <w:rsid w:val="00793658"/>
    <w:rsid w:val="00794A54"/>
    <w:rsid w:val="00795F0B"/>
    <w:rsid w:val="007965F3"/>
    <w:rsid w:val="00797FD4"/>
    <w:rsid w:val="007A1902"/>
    <w:rsid w:val="007A27D9"/>
    <w:rsid w:val="007A560A"/>
    <w:rsid w:val="007B07A2"/>
    <w:rsid w:val="007B3076"/>
    <w:rsid w:val="007B5746"/>
    <w:rsid w:val="007B6492"/>
    <w:rsid w:val="007B65FF"/>
    <w:rsid w:val="007B7243"/>
    <w:rsid w:val="007C0EF3"/>
    <w:rsid w:val="007C29EB"/>
    <w:rsid w:val="007C4862"/>
    <w:rsid w:val="007C4FFC"/>
    <w:rsid w:val="007D0340"/>
    <w:rsid w:val="007D41F3"/>
    <w:rsid w:val="007D5E5D"/>
    <w:rsid w:val="007D71D5"/>
    <w:rsid w:val="007E06E6"/>
    <w:rsid w:val="007E7DE3"/>
    <w:rsid w:val="007F1132"/>
    <w:rsid w:val="007F2C26"/>
    <w:rsid w:val="007F4D56"/>
    <w:rsid w:val="007F5EB4"/>
    <w:rsid w:val="007F6953"/>
    <w:rsid w:val="00801D36"/>
    <w:rsid w:val="00802096"/>
    <w:rsid w:val="00803190"/>
    <w:rsid w:val="0080471B"/>
    <w:rsid w:val="00811F7C"/>
    <w:rsid w:val="00812B74"/>
    <w:rsid w:val="008174D0"/>
    <w:rsid w:val="008175E5"/>
    <w:rsid w:val="00823A1F"/>
    <w:rsid w:val="00825B01"/>
    <w:rsid w:val="00826A37"/>
    <w:rsid w:val="008335B6"/>
    <w:rsid w:val="008336BB"/>
    <w:rsid w:val="00843E33"/>
    <w:rsid w:val="0084420E"/>
    <w:rsid w:val="00844D55"/>
    <w:rsid w:val="008471AF"/>
    <w:rsid w:val="008503B0"/>
    <w:rsid w:val="00851CFD"/>
    <w:rsid w:val="008554AA"/>
    <w:rsid w:val="008556F7"/>
    <w:rsid w:val="0085584C"/>
    <w:rsid w:val="00855A86"/>
    <w:rsid w:val="008579F9"/>
    <w:rsid w:val="00863A86"/>
    <w:rsid w:val="00873B2C"/>
    <w:rsid w:val="00882486"/>
    <w:rsid w:val="008855FE"/>
    <w:rsid w:val="00887116"/>
    <w:rsid w:val="00887A11"/>
    <w:rsid w:val="008909BC"/>
    <w:rsid w:val="0089641D"/>
    <w:rsid w:val="008A0CD9"/>
    <w:rsid w:val="008A3450"/>
    <w:rsid w:val="008A3CBA"/>
    <w:rsid w:val="008A6606"/>
    <w:rsid w:val="008A6F15"/>
    <w:rsid w:val="008B07A9"/>
    <w:rsid w:val="008B0AE2"/>
    <w:rsid w:val="008B139C"/>
    <w:rsid w:val="008B4CD1"/>
    <w:rsid w:val="008C6B19"/>
    <w:rsid w:val="008C73C8"/>
    <w:rsid w:val="008C7930"/>
    <w:rsid w:val="008C7959"/>
    <w:rsid w:val="008E2319"/>
    <w:rsid w:val="008E2E87"/>
    <w:rsid w:val="008E3C85"/>
    <w:rsid w:val="008E4460"/>
    <w:rsid w:val="008E522F"/>
    <w:rsid w:val="008E547A"/>
    <w:rsid w:val="008E5DFB"/>
    <w:rsid w:val="008E6F00"/>
    <w:rsid w:val="008F3382"/>
    <w:rsid w:val="008F5320"/>
    <w:rsid w:val="00900DCE"/>
    <w:rsid w:val="0090118D"/>
    <w:rsid w:val="00904043"/>
    <w:rsid w:val="00907172"/>
    <w:rsid w:val="0090742C"/>
    <w:rsid w:val="0091386E"/>
    <w:rsid w:val="00922E07"/>
    <w:rsid w:val="00927FFE"/>
    <w:rsid w:val="0093222B"/>
    <w:rsid w:val="00934314"/>
    <w:rsid w:val="0093654E"/>
    <w:rsid w:val="0094395E"/>
    <w:rsid w:val="009443A2"/>
    <w:rsid w:val="00945558"/>
    <w:rsid w:val="00957F44"/>
    <w:rsid w:val="009630B9"/>
    <w:rsid w:val="009642F1"/>
    <w:rsid w:val="00967549"/>
    <w:rsid w:val="00977851"/>
    <w:rsid w:val="009824C0"/>
    <w:rsid w:val="009846E7"/>
    <w:rsid w:val="00984756"/>
    <w:rsid w:val="00984966"/>
    <w:rsid w:val="00986B7D"/>
    <w:rsid w:val="00986EBE"/>
    <w:rsid w:val="009A1CF0"/>
    <w:rsid w:val="009A2AFD"/>
    <w:rsid w:val="009A353F"/>
    <w:rsid w:val="009A3CA3"/>
    <w:rsid w:val="009A6884"/>
    <w:rsid w:val="009A7B01"/>
    <w:rsid w:val="009B236C"/>
    <w:rsid w:val="009B6049"/>
    <w:rsid w:val="009C3B52"/>
    <w:rsid w:val="009C5DFB"/>
    <w:rsid w:val="009D0062"/>
    <w:rsid w:val="009D646C"/>
    <w:rsid w:val="009D6EA2"/>
    <w:rsid w:val="009D7583"/>
    <w:rsid w:val="009E164D"/>
    <w:rsid w:val="009E1D63"/>
    <w:rsid w:val="009E2188"/>
    <w:rsid w:val="009E33D0"/>
    <w:rsid w:val="009E4B72"/>
    <w:rsid w:val="009E4E92"/>
    <w:rsid w:val="009E5860"/>
    <w:rsid w:val="009E5C24"/>
    <w:rsid w:val="009E6CFC"/>
    <w:rsid w:val="009F215A"/>
    <w:rsid w:val="009F221D"/>
    <w:rsid w:val="009F2DBD"/>
    <w:rsid w:val="009F353D"/>
    <w:rsid w:val="009F47EA"/>
    <w:rsid w:val="00A01323"/>
    <w:rsid w:val="00A04ED2"/>
    <w:rsid w:val="00A05625"/>
    <w:rsid w:val="00A05641"/>
    <w:rsid w:val="00A12216"/>
    <w:rsid w:val="00A130D5"/>
    <w:rsid w:val="00A1443A"/>
    <w:rsid w:val="00A17688"/>
    <w:rsid w:val="00A23EE0"/>
    <w:rsid w:val="00A25E90"/>
    <w:rsid w:val="00A32F31"/>
    <w:rsid w:val="00A33001"/>
    <w:rsid w:val="00A34BC6"/>
    <w:rsid w:val="00A3569F"/>
    <w:rsid w:val="00A45359"/>
    <w:rsid w:val="00A5079E"/>
    <w:rsid w:val="00A5206A"/>
    <w:rsid w:val="00A57063"/>
    <w:rsid w:val="00A629C2"/>
    <w:rsid w:val="00A62A68"/>
    <w:rsid w:val="00A73CC6"/>
    <w:rsid w:val="00A75C66"/>
    <w:rsid w:val="00A809D2"/>
    <w:rsid w:val="00A816C7"/>
    <w:rsid w:val="00A81802"/>
    <w:rsid w:val="00A81AD8"/>
    <w:rsid w:val="00A82AC8"/>
    <w:rsid w:val="00A84EF7"/>
    <w:rsid w:val="00A90972"/>
    <w:rsid w:val="00AA55FA"/>
    <w:rsid w:val="00AC5CFE"/>
    <w:rsid w:val="00AD014A"/>
    <w:rsid w:val="00AD7C5A"/>
    <w:rsid w:val="00AE03D6"/>
    <w:rsid w:val="00AE4A34"/>
    <w:rsid w:val="00AE565B"/>
    <w:rsid w:val="00AF042C"/>
    <w:rsid w:val="00AF0AF0"/>
    <w:rsid w:val="00AF0FB0"/>
    <w:rsid w:val="00AF4AFB"/>
    <w:rsid w:val="00AF5945"/>
    <w:rsid w:val="00B00B08"/>
    <w:rsid w:val="00B03DCF"/>
    <w:rsid w:val="00B04868"/>
    <w:rsid w:val="00B1124E"/>
    <w:rsid w:val="00B136EB"/>
    <w:rsid w:val="00B13A56"/>
    <w:rsid w:val="00B16671"/>
    <w:rsid w:val="00B1738C"/>
    <w:rsid w:val="00B17A24"/>
    <w:rsid w:val="00B309CA"/>
    <w:rsid w:val="00B41BD0"/>
    <w:rsid w:val="00B42F01"/>
    <w:rsid w:val="00B450E3"/>
    <w:rsid w:val="00B451DB"/>
    <w:rsid w:val="00B54D61"/>
    <w:rsid w:val="00B562B9"/>
    <w:rsid w:val="00B62F53"/>
    <w:rsid w:val="00B653D6"/>
    <w:rsid w:val="00B723DC"/>
    <w:rsid w:val="00B72EBD"/>
    <w:rsid w:val="00B761C8"/>
    <w:rsid w:val="00B814AA"/>
    <w:rsid w:val="00B90C21"/>
    <w:rsid w:val="00B93C6A"/>
    <w:rsid w:val="00B96B7D"/>
    <w:rsid w:val="00BA19A2"/>
    <w:rsid w:val="00BA3E31"/>
    <w:rsid w:val="00BA4BB9"/>
    <w:rsid w:val="00BA6710"/>
    <w:rsid w:val="00BB2BB7"/>
    <w:rsid w:val="00BB37C4"/>
    <w:rsid w:val="00BB65A3"/>
    <w:rsid w:val="00BC0B82"/>
    <w:rsid w:val="00BC19CF"/>
    <w:rsid w:val="00BC230B"/>
    <w:rsid w:val="00BC6DAF"/>
    <w:rsid w:val="00BC7FFC"/>
    <w:rsid w:val="00BD2D27"/>
    <w:rsid w:val="00BD3C30"/>
    <w:rsid w:val="00BD5514"/>
    <w:rsid w:val="00BD5A54"/>
    <w:rsid w:val="00BD6D6C"/>
    <w:rsid w:val="00BE1620"/>
    <w:rsid w:val="00BE1C4A"/>
    <w:rsid w:val="00BE5D1F"/>
    <w:rsid w:val="00BF4BDB"/>
    <w:rsid w:val="00BF6F9E"/>
    <w:rsid w:val="00C033AF"/>
    <w:rsid w:val="00C039F2"/>
    <w:rsid w:val="00C05E9A"/>
    <w:rsid w:val="00C06EDD"/>
    <w:rsid w:val="00C13872"/>
    <w:rsid w:val="00C1401B"/>
    <w:rsid w:val="00C143B6"/>
    <w:rsid w:val="00C16708"/>
    <w:rsid w:val="00C209F5"/>
    <w:rsid w:val="00C21355"/>
    <w:rsid w:val="00C24385"/>
    <w:rsid w:val="00C2476C"/>
    <w:rsid w:val="00C26209"/>
    <w:rsid w:val="00C31958"/>
    <w:rsid w:val="00C31B82"/>
    <w:rsid w:val="00C31F0C"/>
    <w:rsid w:val="00C326CA"/>
    <w:rsid w:val="00C332B1"/>
    <w:rsid w:val="00C33541"/>
    <w:rsid w:val="00C33D00"/>
    <w:rsid w:val="00C36F8D"/>
    <w:rsid w:val="00C3739F"/>
    <w:rsid w:val="00C41017"/>
    <w:rsid w:val="00C41FC9"/>
    <w:rsid w:val="00C4522D"/>
    <w:rsid w:val="00C612EE"/>
    <w:rsid w:val="00C620BC"/>
    <w:rsid w:val="00C64F2D"/>
    <w:rsid w:val="00C66AC6"/>
    <w:rsid w:val="00C6742D"/>
    <w:rsid w:val="00C71377"/>
    <w:rsid w:val="00C71625"/>
    <w:rsid w:val="00C736E1"/>
    <w:rsid w:val="00C74970"/>
    <w:rsid w:val="00C75D5B"/>
    <w:rsid w:val="00C77E03"/>
    <w:rsid w:val="00C81286"/>
    <w:rsid w:val="00C81498"/>
    <w:rsid w:val="00C855AC"/>
    <w:rsid w:val="00C861B0"/>
    <w:rsid w:val="00C87C92"/>
    <w:rsid w:val="00C918B1"/>
    <w:rsid w:val="00C9373C"/>
    <w:rsid w:val="00C94693"/>
    <w:rsid w:val="00C94A6D"/>
    <w:rsid w:val="00C96803"/>
    <w:rsid w:val="00C9787B"/>
    <w:rsid w:val="00CA1748"/>
    <w:rsid w:val="00CA2192"/>
    <w:rsid w:val="00CA2989"/>
    <w:rsid w:val="00CA2F0F"/>
    <w:rsid w:val="00CA6203"/>
    <w:rsid w:val="00CB0A74"/>
    <w:rsid w:val="00CB3533"/>
    <w:rsid w:val="00CB370B"/>
    <w:rsid w:val="00CB5552"/>
    <w:rsid w:val="00CB59E3"/>
    <w:rsid w:val="00CB6BBE"/>
    <w:rsid w:val="00CC48F3"/>
    <w:rsid w:val="00CC74F3"/>
    <w:rsid w:val="00CC7DA0"/>
    <w:rsid w:val="00CD1EE4"/>
    <w:rsid w:val="00CD41BF"/>
    <w:rsid w:val="00CD73C3"/>
    <w:rsid w:val="00CE036A"/>
    <w:rsid w:val="00CE1631"/>
    <w:rsid w:val="00CE2C7A"/>
    <w:rsid w:val="00CE480A"/>
    <w:rsid w:val="00CF028F"/>
    <w:rsid w:val="00CF12AE"/>
    <w:rsid w:val="00CF1EC6"/>
    <w:rsid w:val="00CF6D5E"/>
    <w:rsid w:val="00D0325E"/>
    <w:rsid w:val="00D03846"/>
    <w:rsid w:val="00D053DA"/>
    <w:rsid w:val="00D06FCD"/>
    <w:rsid w:val="00D1130D"/>
    <w:rsid w:val="00D13991"/>
    <w:rsid w:val="00D148B2"/>
    <w:rsid w:val="00D17961"/>
    <w:rsid w:val="00D234EC"/>
    <w:rsid w:val="00D2366A"/>
    <w:rsid w:val="00D23CD5"/>
    <w:rsid w:val="00D30086"/>
    <w:rsid w:val="00D30DB8"/>
    <w:rsid w:val="00D3187A"/>
    <w:rsid w:val="00D33234"/>
    <w:rsid w:val="00D333FF"/>
    <w:rsid w:val="00D35C67"/>
    <w:rsid w:val="00D416A6"/>
    <w:rsid w:val="00D41C31"/>
    <w:rsid w:val="00D44CC8"/>
    <w:rsid w:val="00D44F81"/>
    <w:rsid w:val="00D47A02"/>
    <w:rsid w:val="00D53C99"/>
    <w:rsid w:val="00D54FF6"/>
    <w:rsid w:val="00D5592F"/>
    <w:rsid w:val="00D56CE4"/>
    <w:rsid w:val="00D56E6F"/>
    <w:rsid w:val="00D57533"/>
    <w:rsid w:val="00D66921"/>
    <w:rsid w:val="00D6732A"/>
    <w:rsid w:val="00D73A64"/>
    <w:rsid w:val="00D7524E"/>
    <w:rsid w:val="00D75CF6"/>
    <w:rsid w:val="00D81B1C"/>
    <w:rsid w:val="00D81F95"/>
    <w:rsid w:val="00D8602B"/>
    <w:rsid w:val="00D90023"/>
    <w:rsid w:val="00D927EF"/>
    <w:rsid w:val="00D96436"/>
    <w:rsid w:val="00DA056F"/>
    <w:rsid w:val="00DA5ECB"/>
    <w:rsid w:val="00DA7341"/>
    <w:rsid w:val="00DB067E"/>
    <w:rsid w:val="00DB7558"/>
    <w:rsid w:val="00DC46A0"/>
    <w:rsid w:val="00DE4E67"/>
    <w:rsid w:val="00DF5903"/>
    <w:rsid w:val="00DF6770"/>
    <w:rsid w:val="00E04BAD"/>
    <w:rsid w:val="00E058BD"/>
    <w:rsid w:val="00E1087E"/>
    <w:rsid w:val="00E14E61"/>
    <w:rsid w:val="00E1705B"/>
    <w:rsid w:val="00E1788E"/>
    <w:rsid w:val="00E207AB"/>
    <w:rsid w:val="00E21F58"/>
    <w:rsid w:val="00E22C63"/>
    <w:rsid w:val="00E22F04"/>
    <w:rsid w:val="00E2321E"/>
    <w:rsid w:val="00E23286"/>
    <w:rsid w:val="00E2660D"/>
    <w:rsid w:val="00E26D55"/>
    <w:rsid w:val="00E33F40"/>
    <w:rsid w:val="00E34219"/>
    <w:rsid w:val="00E346D7"/>
    <w:rsid w:val="00E35727"/>
    <w:rsid w:val="00E41C60"/>
    <w:rsid w:val="00E421D6"/>
    <w:rsid w:val="00E47424"/>
    <w:rsid w:val="00E47437"/>
    <w:rsid w:val="00E47C29"/>
    <w:rsid w:val="00E50809"/>
    <w:rsid w:val="00E513E9"/>
    <w:rsid w:val="00E523B2"/>
    <w:rsid w:val="00E52EB1"/>
    <w:rsid w:val="00E61F4E"/>
    <w:rsid w:val="00E66E87"/>
    <w:rsid w:val="00E7171D"/>
    <w:rsid w:val="00E7252B"/>
    <w:rsid w:val="00E75867"/>
    <w:rsid w:val="00E87C92"/>
    <w:rsid w:val="00E9064C"/>
    <w:rsid w:val="00E925C2"/>
    <w:rsid w:val="00E93804"/>
    <w:rsid w:val="00E9416F"/>
    <w:rsid w:val="00E9498D"/>
    <w:rsid w:val="00E979CD"/>
    <w:rsid w:val="00EA355B"/>
    <w:rsid w:val="00EB018E"/>
    <w:rsid w:val="00EB0F52"/>
    <w:rsid w:val="00EB11CB"/>
    <w:rsid w:val="00EB64BC"/>
    <w:rsid w:val="00EC0AE5"/>
    <w:rsid w:val="00EC5480"/>
    <w:rsid w:val="00EC65A1"/>
    <w:rsid w:val="00EC79BD"/>
    <w:rsid w:val="00EC7FAA"/>
    <w:rsid w:val="00ED013E"/>
    <w:rsid w:val="00ED1EA1"/>
    <w:rsid w:val="00ED1FC3"/>
    <w:rsid w:val="00ED42A5"/>
    <w:rsid w:val="00ED4982"/>
    <w:rsid w:val="00EE3638"/>
    <w:rsid w:val="00EE5312"/>
    <w:rsid w:val="00EE7BA8"/>
    <w:rsid w:val="00EF4718"/>
    <w:rsid w:val="00EF4C29"/>
    <w:rsid w:val="00F00FA6"/>
    <w:rsid w:val="00F04BD0"/>
    <w:rsid w:val="00F058B8"/>
    <w:rsid w:val="00F060B4"/>
    <w:rsid w:val="00F0652F"/>
    <w:rsid w:val="00F104D5"/>
    <w:rsid w:val="00F104F4"/>
    <w:rsid w:val="00F10EA1"/>
    <w:rsid w:val="00F11C62"/>
    <w:rsid w:val="00F13B74"/>
    <w:rsid w:val="00F16B23"/>
    <w:rsid w:val="00F21F8C"/>
    <w:rsid w:val="00F233DF"/>
    <w:rsid w:val="00F23643"/>
    <w:rsid w:val="00F26A7D"/>
    <w:rsid w:val="00F279E0"/>
    <w:rsid w:val="00F34624"/>
    <w:rsid w:val="00F34B74"/>
    <w:rsid w:val="00F35BDC"/>
    <w:rsid w:val="00F36970"/>
    <w:rsid w:val="00F43BD6"/>
    <w:rsid w:val="00F44FF2"/>
    <w:rsid w:val="00F45991"/>
    <w:rsid w:val="00F45BA3"/>
    <w:rsid w:val="00F45F20"/>
    <w:rsid w:val="00F520B3"/>
    <w:rsid w:val="00F54E93"/>
    <w:rsid w:val="00F60039"/>
    <w:rsid w:val="00F61030"/>
    <w:rsid w:val="00F64755"/>
    <w:rsid w:val="00F658A8"/>
    <w:rsid w:val="00F67B24"/>
    <w:rsid w:val="00F75FAB"/>
    <w:rsid w:val="00F76FC0"/>
    <w:rsid w:val="00F807D0"/>
    <w:rsid w:val="00F81169"/>
    <w:rsid w:val="00F8276F"/>
    <w:rsid w:val="00F84A2A"/>
    <w:rsid w:val="00F86A4F"/>
    <w:rsid w:val="00F8732A"/>
    <w:rsid w:val="00F93D5C"/>
    <w:rsid w:val="00F94004"/>
    <w:rsid w:val="00F944C0"/>
    <w:rsid w:val="00F960B9"/>
    <w:rsid w:val="00FA63F7"/>
    <w:rsid w:val="00FA6464"/>
    <w:rsid w:val="00FA695C"/>
    <w:rsid w:val="00FB00DD"/>
    <w:rsid w:val="00FB1321"/>
    <w:rsid w:val="00FB1703"/>
    <w:rsid w:val="00FB1805"/>
    <w:rsid w:val="00FB621D"/>
    <w:rsid w:val="00FC568E"/>
    <w:rsid w:val="00FC6F99"/>
    <w:rsid w:val="00FC7A92"/>
    <w:rsid w:val="00FD058B"/>
    <w:rsid w:val="00FD0B59"/>
    <w:rsid w:val="00FD3AEA"/>
    <w:rsid w:val="00FD43A7"/>
    <w:rsid w:val="00FD7936"/>
    <w:rsid w:val="00FE1761"/>
    <w:rsid w:val="00FE35F1"/>
    <w:rsid w:val="00FE4CB3"/>
    <w:rsid w:val="00FE78B6"/>
    <w:rsid w:val="00FE7CF1"/>
    <w:rsid w:val="00FF1975"/>
    <w:rsid w:val="00FF3E98"/>
    <w:rsid w:val="00FF6EB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12312"/>
  <w15:docId w15:val="{56F4E817-55A6-4B5A-AFCC-4794C4F04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Rubrik1">
    <w:name w:val="heading 1"/>
    <w:basedOn w:val="Normal"/>
    <w:next w:val="Normal"/>
    <w:link w:val="Rubrik1Char"/>
    <w:uiPriority w:val="9"/>
    <w:qFormat/>
    <w:rsid w:val="00394734"/>
    <w:pPr>
      <w:keepNext/>
      <w:keepLines/>
      <w:spacing w:before="480" w:after="0"/>
      <w:outlineLvl w:val="0"/>
    </w:pPr>
    <w:rPr>
      <w:rFonts w:asciiTheme="majorHAnsi" w:eastAsiaTheme="majorEastAsia" w:hAnsiTheme="majorHAnsi" w:cstheme="majorBidi"/>
      <w:b/>
      <w:bCs/>
      <w:color w:val="005758" w:themeColor="accent1" w:themeShade="BF"/>
      <w:sz w:val="28"/>
      <w:szCs w:val="28"/>
    </w:rPr>
  </w:style>
  <w:style w:type="paragraph" w:styleId="Rubrik2">
    <w:name w:val="heading 2"/>
    <w:basedOn w:val="Normal"/>
    <w:next w:val="Normal"/>
    <w:link w:val="Rubrik2Char"/>
    <w:uiPriority w:val="9"/>
    <w:semiHidden/>
    <w:unhideWhenUsed/>
    <w:qFormat/>
    <w:rsid w:val="000617B8"/>
    <w:pPr>
      <w:keepNext/>
      <w:keepLines/>
      <w:spacing w:before="40" w:after="0"/>
      <w:outlineLvl w:val="1"/>
    </w:pPr>
    <w:rPr>
      <w:rFonts w:asciiTheme="majorHAnsi" w:eastAsiaTheme="majorEastAsia" w:hAnsiTheme="majorHAnsi" w:cstheme="majorBidi"/>
      <w:color w:val="005758"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IRSTSUB-title">
    <w:name w:val="FIRST SUB-title"/>
    <w:basedOn w:val="Normal"/>
    <w:rsid w:val="00193EE3"/>
    <w:pPr>
      <w:spacing w:after="60" w:line="320" w:lineRule="exact"/>
    </w:pPr>
    <w:rPr>
      <w:rFonts w:ascii="Arial" w:eastAsia="MS Mincho" w:hAnsi="Arial" w:cs="Times New Roman"/>
      <w:b/>
      <w:noProof/>
      <w:color w:val="5AB5D4"/>
      <w:szCs w:val="24"/>
      <w:lang w:val="en-US"/>
    </w:rPr>
  </w:style>
  <w:style w:type="paragraph" w:customStyle="1" w:styleId="BodyText12larger">
    <w:name w:val="Body Text 12 larger"/>
    <w:qFormat/>
    <w:rsid w:val="00193EE3"/>
    <w:pPr>
      <w:spacing w:before="120" w:after="160" w:line="240" w:lineRule="exact"/>
    </w:pPr>
    <w:rPr>
      <w:rFonts w:ascii="Arial" w:eastAsia="MS Mincho" w:hAnsi="Arial" w:cs="Times New Roman"/>
      <w:noProof/>
      <w:sz w:val="24"/>
      <w:szCs w:val="17"/>
      <w:lang w:val="en-US"/>
    </w:rPr>
  </w:style>
  <w:style w:type="paragraph" w:styleId="Ballongtext">
    <w:name w:val="Balloon Text"/>
    <w:basedOn w:val="Normal"/>
    <w:link w:val="BallongtextChar"/>
    <w:uiPriority w:val="99"/>
    <w:semiHidden/>
    <w:unhideWhenUsed/>
    <w:rsid w:val="006577D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577D4"/>
    <w:rPr>
      <w:rFonts w:ascii="Tahoma" w:hAnsi="Tahoma" w:cs="Tahoma"/>
      <w:sz w:val="16"/>
      <w:szCs w:val="16"/>
    </w:rPr>
  </w:style>
  <w:style w:type="paragraph" w:styleId="Sidhuvud">
    <w:name w:val="header"/>
    <w:basedOn w:val="Normal"/>
    <w:link w:val="SidhuvudChar"/>
    <w:uiPriority w:val="99"/>
    <w:unhideWhenUsed/>
    <w:rsid w:val="00A3300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33001"/>
  </w:style>
  <w:style w:type="paragraph" w:styleId="Sidfot">
    <w:name w:val="footer"/>
    <w:basedOn w:val="Normal"/>
    <w:link w:val="SidfotChar"/>
    <w:uiPriority w:val="99"/>
    <w:unhideWhenUsed/>
    <w:rsid w:val="00A3300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33001"/>
  </w:style>
  <w:style w:type="table" w:styleId="Tabellrutnt">
    <w:name w:val="Table Grid"/>
    <w:basedOn w:val="Normaltabell"/>
    <w:uiPriority w:val="59"/>
    <w:rsid w:val="00A33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8F5320"/>
    <w:rPr>
      <w:color w:val="0000FF" w:themeColor="hyperlink"/>
      <w:u w:val="single"/>
    </w:rPr>
  </w:style>
  <w:style w:type="character" w:customStyle="1" w:styleId="Rubrik1Char">
    <w:name w:val="Rubrik 1 Char"/>
    <w:basedOn w:val="Standardstycketeckensnitt"/>
    <w:link w:val="Rubrik1"/>
    <w:uiPriority w:val="9"/>
    <w:rsid w:val="00394734"/>
    <w:rPr>
      <w:rFonts w:asciiTheme="majorHAnsi" w:eastAsiaTheme="majorEastAsia" w:hAnsiTheme="majorHAnsi" w:cstheme="majorBidi"/>
      <w:b/>
      <w:bCs/>
      <w:color w:val="005758" w:themeColor="accent1" w:themeShade="BF"/>
      <w:sz w:val="28"/>
      <w:szCs w:val="28"/>
    </w:rPr>
  </w:style>
  <w:style w:type="paragraph" w:customStyle="1" w:styleId="AISEBodyText">
    <w:name w:val="AISE Body Text"/>
    <w:qFormat/>
    <w:rsid w:val="00DA7341"/>
    <w:pPr>
      <w:spacing w:after="40" w:line="270" w:lineRule="exact"/>
    </w:pPr>
    <w:rPr>
      <w:rFonts w:ascii="Arial" w:eastAsiaTheme="minorEastAsia" w:hAnsi="Arial"/>
      <w:szCs w:val="24"/>
      <w:lang w:val="en-GB"/>
    </w:rPr>
  </w:style>
  <w:style w:type="paragraph" w:customStyle="1" w:styleId="AISEAdress">
    <w:name w:val="AISE Adress"/>
    <w:basedOn w:val="AISEBodyText"/>
    <w:qFormat/>
    <w:rsid w:val="00DA7341"/>
  </w:style>
  <w:style w:type="character" w:customStyle="1" w:styleId="AISEBODYBOLD">
    <w:name w:val="AISE BODY BOLD"/>
    <w:basedOn w:val="Standardstycketeckensnitt"/>
    <w:uiPriority w:val="1"/>
    <w:qFormat/>
    <w:rsid w:val="00F34624"/>
    <w:rPr>
      <w:rFonts w:ascii="Arial" w:hAnsi="Arial"/>
      <w:b/>
      <w:i w:val="0"/>
      <w:color w:val="auto"/>
    </w:rPr>
  </w:style>
  <w:style w:type="paragraph" w:customStyle="1" w:styleId="AISEDOCDETAILS">
    <w:name w:val="AISE DOC DETAILS"/>
    <w:qFormat/>
    <w:rsid w:val="00DA7341"/>
    <w:pPr>
      <w:spacing w:after="0" w:line="240" w:lineRule="auto"/>
      <w:jc w:val="right"/>
    </w:pPr>
    <w:rPr>
      <w:rFonts w:eastAsiaTheme="minorEastAsia"/>
      <w:color w:val="007576" w:themeColor="accent1"/>
      <w:sz w:val="20"/>
      <w:szCs w:val="20"/>
      <w:lang w:val="en-GB"/>
    </w:rPr>
  </w:style>
  <w:style w:type="paragraph" w:customStyle="1" w:styleId="AISEDOCTITLE1">
    <w:name w:val="AISE DOC TITLE1"/>
    <w:qFormat/>
    <w:rsid w:val="00DA7341"/>
    <w:pPr>
      <w:spacing w:after="0" w:line="216" w:lineRule="auto"/>
      <w:jc w:val="left"/>
    </w:pPr>
    <w:rPr>
      <w:rFonts w:ascii="Arial" w:eastAsiaTheme="minorEastAsia" w:hAnsi="Arial"/>
      <w:b/>
      <w:bCs/>
      <w:caps/>
      <w:color w:val="007576" w:themeColor="accent1"/>
      <w:sz w:val="48"/>
      <w:szCs w:val="48"/>
      <w:lang w:val="en-GB" w:eastAsia="ja-JP"/>
    </w:rPr>
  </w:style>
  <w:style w:type="paragraph" w:customStyle="1" w:styleId="AISELISTparticipants">
    <w:name w:val="AISE LIST participants"/>
    <w:basedOn w:val="Liststycke"/>
    <w:qFormat/>
    <w:rsid w:val="00DA7341"/>
    <w:pPr>
      <w:numPr>
        <w:numId w:val="6"/>
      </w:numPr>
      <w:tabs>
        <w:tab w:val="left" w:pos="284"/>
      </w:tabs>
      <w:spacing w:after="60" w:line="270" w:lineRule="exact"/>
    </w:pPr>
    <w:rPr>
      <w:rFonts w:ascii="Arial" w:eastAsiaTheme="minorEastAsia" w:hAnsi="Arial"/>
      <w:caps/>
    </w:rPr>
  </w:style>
  <w:style w:type="paragraph" w:styleId="Liststycke">
    <w:name w:val="List Paragraph"/>
    <w:basedOn w:val="Normal"/>
    <w:uiPriority w:val="34"/>
    <w:rsid w:val="00394734"/>
    <w:pPr>
      <w:ind w:left="720"/>
      <w:contextualSpacing/>
    </w:pPr>
  </w:style>
  <w:style w:type="paragraph" w:customStyle="1" w:styleId="AISEobject">
    <w:name w:val="AISE object"/>
    <w:basedOn w:val="AISEBodyText"/>
    <w:qFormat/>
    <w:rsid w:val="00DA7341"/>
    <w:rPr>
      <w:color w:val="00877F"/>
    </w:rPr>
  </w:style>
  <w:style w:type="paragraph" w:customStyle="1" w:styleId="AISESUBTITLE2">
    <w:name w:val="AISE SUB TITLE 2"/>
    <w:basedOn w:val="AISEBodyText"/>
    <w:qFormat/>
    <w:rsid w:val="00DA7341"/>
    <w:pPr>
      <w:numPr>
        <w:ilvl w:val="1"/>
        <w:numId w:val="8"/>
      </w:numPr>
      <w:tabs>
        <w:tab w:val="left" w:pos="1134"/>
      </w:tabs>
      <w:spacing w:before="80" w:after="80"/>
    </w:pPr>
    <w:rPr>
      <w:b/>
      <w:color w:val="0076B3" w:themeColor="accent2"/>
      <w:sz w:val="24"/>
    </w:rPr>
  </w:style>
  <w:style w:type="paragraph" w:customStyle="1" w:styleId="AISESUBTITLE2sans">
    <w:name w:val="AISE SUB TITLE 2 sans"/>
    <w:basedOn w:val="AISESUBTITLE2"/>
    <w:qFormat/>
    <w:rsid w:val="00DA7341"/>
    <w:pPr>
      <w:numPr>
        <w:ilvl w:val="0"/>
        <w:numId w:val="0"/>
      </w:numPr>
    </w:pPr>
  </w:style>
  <w:style w:type="paragraph" w:customStyle="1" w:styleId="AISESUBTITLE3">
    <w:name w:val="AISE SUB TITLE 3"/>
    <w:basedOn w:val="AISESUBTITLE2"/>
    <w:qFormat/>
    <w:rsid w:val="00DA7341"/>
    <w:pPr>
      <w:numPr>
        <w:ilvl w:val="2"/>
      </w:numPr>
      <w:tabs>
        <w:tab w:val="clear" w:pos="1134"/>
        <w:tab w:val="left" w:pos="1985"/>
      </w:tabs>
    </w:pPr>
    <w:rPr>
      <w:color w:val="792F77" w:themeColor="accent4"/>
    </w:rPr>
  </w:style>
  <w:style w:type="paragraph" w:customStyle="1" w:styleId="AISESUBTITLE3sans">
    <w:name w:val="AISE SUB TITLE 3 sans"/>
    <w:basedOn w:val="AISESUBTITLE3"/>
    <w:qFormat/>
    <w:rsid w:val="00DA7341"/>
    <w:pPr>
      <w:numPr>
        <w:ilvl w:val="0"/>
        <w:numId w:val="0"/>
      </w:numPr>
    </w:pPr>
  </w:style>
  <w:style w:type="paragraph" w:customStyle="1" w:styleId="AISESUBTITLE1">
    <w:name w:val="AISE SUB TITLE1"/>
    <w:basedOn w:val="AISEBodyText"/>
    <w:qFormat/>
    <w:rsid w:val="00DA7341"/>
    <w:pPr>
      <w:numPr>
        <w:numId w:val="9"/>
      </w:numPr>
      <w:tabs>
        <w:tab w:val="left" w:pos="567"/>
      </w:tabs>
      <w:spacing w:before="80" w:after="80"/>
    </w:pPr>
    <w:rPr>
      <w:b/>
      <w:color w:val="007576" w:themeColor="accent1"/>
      <w:sz w:val="24"/>
      <w:szCs w:val="28"/>
    </w:rPr>
  </w:style>
  <w:style w:type="paragraph" w:customStyle="1" w:styleId="AISESUBTITLEsans">
    <w:name w:val="AISE SUB TITLE sans"/>
    <w:basedOn w:val="AISESUBTITLE1"/>
    <w:qFormat/>
    <w:rsid w:val="00DA7341"/>
    <w:pPr>
      <w:numPr>
        <w:numId w:val="0"/>
      </w:numPr>
    </w:pPr>
  </w:style>
  <w:style w:type="paragraph" w:customStyle="1" w:styleId="AISEDOCTITLE2">
    <w:name w:val="AISE DOC TITLE 2"/>
    <w:qFormat/>
    <w:rsid w:val="00DA7341"/>
    <w:pPr>
      <w:spacing w:after="0" w:line="240" w:lineRule="auto"/>
      <w:jc w:val="left"/>
    </w:pPr>
    <w:rPr>
      <w:rFonts w:asciiTheme="majorHAnsi" w:eastAsiaTheme="minorEastAsia" w:hAnsiTheme="majorHAnsi"/>
      <w:color w:val="007576" w:themeColor="accent1"/>
      <w:sz w:val="38"/>
      <w:szCs w:val="38"/>
      <w:lang w:val="en-GB"/>
    </w:rPr>
  </w:style>
  <w:style w:type="paragraph" w:styleId="Rubrik">
    <w:name w:val="Title"/>
    <w:aliases w:val="Action"/>
    <w:basedOn w:val="Normal"/>
    <w:next w:val="Normal"/>
    <w:link w:val="RubrikChar"/>
    <w:uiPriority w:val="10"/>
    <w:rsid w:val="008E4460"/>
    <w:pPr>
      <w:pBdr>
        <w:bottom w:val="single" w:sz="8" w:space="4" w:color="007576" w:themeColor="accent1"/>
      </w:pBdr>
      <w:spacing w:after="300" w:line="240" w:lineRule="auto"/>
      <w:contextualSpacing/>
    </w:pPr>
    <w:rPr>
      <w:rFonts w:ascii="Arial" w:eastAsiaTheme="majorEastAsia" w:hAnsi="Arial" w:cstheme="majorBidi"/>
      <w:i/>
      <w:color w:val="792F77" w:themeColor="accent4"/>
      <w:spacing w:val="5"/>
      <w:kern w:val="28"/>
      <w:szCs w:val="52"/>
    </w:rPr>
  </w:style>
  <w:style w:type="character" w:customStyle="1" w:styleId="RubrikChar">
    <w:name w:val="Rubrik Char"/>
    <w:aliases w:val="Action Char"/>
    <w:basedOn w:val="Standardstycketeckensnitt"/>
    <w:link w:val="Rubrik"/>
    <w:uiPriority w:val="10"/>
    <w:rsid w:val="008E4460"/>
    <w:rPr>
      <w:rFonts w:ascii="Arial" w:eastAsiaTheme="majorEastAsia" w:hAnsi="Arial" w:cstheme="majorBidi"/>
      <w:i/>
      <w:color w:val="792F77" w:themeColor="accent4"/>
      <w:spacing w:val="5"/>
      <w:kern w:val="28"/>
      <w:szCs w:val="52"/>
      <w:lang w:val="en-GB"/>
    </w:rPr>
  </w:style>
  <w:style w:type="paragraph" w:styleId="Normalwebb">
    <w:name w:val="Normal (Web)"/>
    <w:basedOn w:val="Normal"/>
    <w:rsid w:val="00D8602B"/>
    <w:pPr>
      <w:spacing w:before="100" w:beforeAutospacing="1" w:after="100" w:afterAutospacing="1" w:line="240" w:lineRule="auto"/>
      <w:jc w:val="left"/>
    </w:pPr>
    <w:rPr>
      <w:rFonts w:ascii="Arial Unicode MS" w:eastAsia="Arial Unicode MS" w:hAnsi="Arial Unicode MS" w:cs="Arial Unicode MS"/>
      <w:color w:val="000000"/>
      <w:szCs w:val="20"/>
    </w:rPr>
  </w:style>
  <w:style w:type="character" w:styleId="Slutnotsreferens">
    <w:name w:val="endnote reference"/>
    <w:semiHidden/>
    <w:rsid w:val="00D8602B"/>
    <w:rPr>
      <w:vertAlign w:val="superscript"/>
    </w:rPr>
  </w:style>
  <w:style w:type="paragraph" w:styleId="Citat">
    <w:name w:val="Quote"/>
    <w:basedOn w:val="Normal"/>
    <w:next w:val="Normal"/>
    <w:link w:val="CitatChar"/>
    <w:uiPriority w:val="29"/>
    <w:qFormat/>
    <w:rsid w:val="000617B8"/>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0617B8"/>
    <w:rPr>
      <w:i/>
      <w:iCs/>
      <w:color w:val="404040" w:themeColor="text1" w:themeTint="BF"/>
      <w:lang w:val="en-GB"/>
    </w:rPr>
  </w:style>
  <w:style w:type="character" w:customStyle="1" w:styleId="Rubrik2Char">
    <w:name w:val="Rubrik 2 Char"/>
    <w:basedOn w:val="Standardstycketeckensnitt"/>
    <w:link w:val="Rubrik2"/>
    <w:uiPriority w:val="9"/>
    <w:semiHidden/>
    <w:rsid w:val="000617B8"/>
    <w:rPr>
      <w:rFonts w:asciiTheme="majorHAnsi" w:eastAsiaTheme="majorEastAsia" w:hAnsiTheme="majorHAnsi" w:cstheme="majorBidi"/>
      <w:color w:val="005758" w:themeColor="accent1" w:themeShade="BF"/>
      <w:sz w:val="26"/>
      <w:szCs w:val="26"/>
      <w:lang w:val="en-GB"/>
    </w:rPr>
  </w:style>
  <w:style w:type="paragraph" w:customStyle="1" w:styleId="Default">
    <w:name w:val="Default"/>
    <w:rsid w:val="006B5AC8"/>
    <w:pPr>
      <w:autoSpaceDE w:val="0"/>
      <w:autoSpaceDN w:val="0"/>
      <w:adjustRightInd w:val="0"/>
      <w:spacing w:after="0" w:line="240" w:lineRule="auto"/>
      <w:jc w:val="left"/>
    </w:pPr>
    <w:rPr>
      <w:rFonts w:ascii="Arial" w:hAnsi="Arial" w:cs="Arial"/>
      <w:color w:val="000000"/>
      <w:sz w:val="24"/>
      <w:szCs w:val="24"/>
      <w:lang w:val="en-GB"/>
    </w:rPr>
  </w:style>
  <w:style w:type="paragraph" w:styleId="Fotnotstext">
    <w:name w:val="footnote text"/>
    <w:basedOn w:val="Normal"/>
    <w:link w:val="FotnotstextChar"/>
    <w:uiPriority w:val="99"/>
    <w:semiHidden/>
    <w:unhideWhenUsed/>
    <w:rsid w:val="006B5AC8"/>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6B5AC8"/>
    <w:rPr>
      <w:sz w:val="20"/>
      <w:szCs w:val="20"/>
      <w:lang w:val="en-GB"/>
    </w:rPr>
  </w:style>
  <w:style w:type="character" w:styleId="Fotnotsreferens">
    <w:name w:val="footnote reference"/>
    <w:basedOn w:val="Standardstycketeckensnitt"/>
    <w:uiPriority w:val="99"/>
    <w:semiHidden/>
    <w:unhideWhenUsed/>
    <w:rsid w:val="006B5AC8"/>
    <w:rPr>
      <w:vertAlign w:val="superscript"/>
    </w:rPr>
  </w:style>
  <w:style w:type="character" w:styleId="Olstomnmnande">
    <w:name w:val="Unresolved Mention"/>
    <w:basedOn w:val="Standardstycketeckensnitt"/>
    <w:uiPriority w:val="99"/>
    <w:semiHidden/>
    <w:unhideWhenUsed/>
    <w:rsid w:val="006B5AC8"/>
    <w:rPr>
      <w:color w:val="605E5C"/>
      <w:shd w:val="clear" w:color="auto" w:fill="E1DFDD"/>
    </w:rPr>
  </w:style>
  <w:style w:type="character" w:styleId="AnvndHyperlnk">
    <w:name w:val="FollowedHyperlink"/>
    <w:basedOn w:val="Standardstycketeckensnitt"/>
    <w:uiPriority w:val="99"/>
    <w:semiHidden/>
    <w:unhideWhenUsed/>
    <w:rsid w:val="00F058B8"/>
    <w:rPr>
      <w:color w:val="800080" w:themeColor="followedHyperlink"/>
      <w:u w:val="single"/>
    </w:rPr>
  </w:style>
  <w:style w:type="character" w:styleId="Kommentarsreferens">
    <w:name w:val="annotation reference"/>
    <w:basedOn w:val="Standardstycketeckensnitt"/>
    <w:uiPriority w:val="99"/>
    <w:semiHidden/>
    <w:unhideWhenUsed/>
    <w:rsid w:val="00A73CC6"/>
    <w:rPr>
      <w:sz w:val="16"/>
      <w:szCs w:val="16"/>
    </w:rPr>
  </w:style>
  <w:style w:type="paragraph" w:styleId="Kommentarer">
    <w:name w:val="annotation text"/>
    <w:basedOn w:val="Normal"/>
    <w:link w:val="KommentarerChar"/>
    <w:uiPriority w:val="99"/>
    <w:unhideWhenUsed/>
    <w:rsid w:val="00A73CC6"/>
    <w:pPr>
      <w:spacing w:line="240" w:lineRule="auto"/>
    </w:pPr>
    <w:rPr>
      <w:sz w:val="20"/>
      <w:szCs w:val="20"/>
    </w:rPr>
  </w:style>
  <w:style w:type="character" w:customStyle="1" w:styleId="KommentarerChar">
    <w:name w:val="Kommentarer Char"/>
    <w:basedOn w:val="Standardstycketeckensnitt"/>
    <w:link w:val="Kommentarer"/>
    <w:uiPriority w:val="99"/>
    <w:rsid w:val="00A73CC6"/>
    <w:rPr>
      <w:sz w:val="20"/>
      <w:szCs w:val="20"/>
      <w:lang w:val="en-GB"/>
    </w:rPr>
  </w:style>
  <w:style w:type="paragraph" w:styleId="Kommentarsmne">
    <w:name w:val="annotation subject"/>
    <w:basedOn w:val="Kommentarer"/>
    <w:next w:val="Kommentarer"/>
    <w:link w:val="KommentarsmneChar"/>
    <w:uiPriority w:val="99"/>
    <w:semiHidden/>
    <w:unhideWhenUsed/>
    <w:rsid w:val="00A73CC6"/>
    <w:rPr>
      <w:b/>
      <w:bCs/>
    </w:rPr>
  </w:style>
  <w:style w:type="character" w:customStyle="1" w:styleId="KommentarsmneChar">
    <w:name w:val="Kommentarsämne Char"/>
    <w:basedOn w:val="KommentarerChar"/>
    <w:link w:val="Kommentarsmne"/>
    <w:uiPriority w:val="99"/>
    <w:semiHidden/>
    <w:rsid w:val="00A73CC6"/>
    <w:rPr>
      <w:b/>
      <w:bCs/>
      <w:sz w:val="20"/>
      <w:szCs w:val="20"/>
      <w:lang w:val="en-GB"/>
    </w:rPr>
  </w:style>
  <w:style w:type="paragraph" w:styleId="Revision">
    <w:name w:val="Revision"/>
    <w:hidden/>
    <w:uiPriority w:val="99"/>
    <w:semiHidden/>
    <w:rsid w:val="008B139C"/>
    <w:pPr>
      <w:spacing w:after="0" w:line="240" w:lineRule="auto"/>
      <w:jc w:val="left"/>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2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pubs.acs.org/doi/pdf/10.1021/acs.est.0c03742" TargetMode="External"/><Relationship Id="rId2" Type="http://schemas.openxmlformats.org/officeDocument/2006/relationships/hyperlink" Target="https://echa.europa.eu/documents/10162/05bd96e3-b969-0a7c-c6d0-441182893720" TargetMode="External"/><Relationship Id="rId1" Type="http://schemas.openxmlformats.org/officeDocument/2006/relationships/hyperlink" Target="https://ec.europa.eu/transparency/comitology-register/screen/documents/083921/2/consult?lang=en" TargetMode="External"/><Relationship Id="rId4" Type="http://schemas.openxmlformats.org/officeDocument/2006/relationships/hyperlink" Target="https://echa.europa.eu/documents/10162/71b5eb22-5dc1-77d9-8472-4305b21bfca3"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AISE">
  <a:themeElements>
    <a:clrScheme name="AISE">
      <a:dk1>
        <a:sysClr val="windowText" lastClr="000000"/>
      </a:dk1>
      <a:lt1>
        <a:sysClr val="window" lastClr="FFFFFF"/>
      </a:lt1>
      <a:dk2>
        <a:srgbClr val="007576"/>
      </a:dk2>
      <a:lt2>
        <a:srgbClr val="EEECE1"/>
      </a:lt2>
      <a:accent1>
        <a:srgbClr val="007576"/>
      </a:accent1>
      <a:accent2>
        <a:srgbClr val="0076B3"/>
      </a:accent2>
      <a:accent3>
        <a:srgbClr val="A9C30C"/>
      </a:accent3>
      <a:accent4>
        <a:srgbClr val="792F77"/>
      </a:accent4>
      <a:accent5>
        <a:srgbClr val="FF0000"/>
      </a:accent5>
      <a:accent6>
        <a:srgbClr val="002060"/>
      </a:accent6>
      <a:hlink>
        <a:srgbClr val="0000FF"/>
      </a:hlink>
      <a:folHlink>
        <a:srgbClr val="800080"/>
      </a:folHlink>
    </a:clrScheme>
    <a:fontScheme name="AIS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DCB30E66916EF4ABC5FC3661EB472C8" ma:contentTypeVersion="14" ma:contentTypeDescription="Skapa ett nytt dokument." ma:contentTypeScope="" ma:versionID="27b84379655a8d344463a6120ceba377">
  <xsd:schema xmlns:xsd="http://www.w3.org/2001/XMLSchema" xmlns:xs="http://www.w3.org/2001/XMLSchema" xmlns:p="http://schemas.microsoft.com/office/2006/metadata/properties" xmlns:ns2="9b11bc97-7b82-46bc-b251-65f5751c3257" xmlns:ns3="4d700a4f-a4fc-4514-8813-aa26e6147463" targetNamespace="http://schemas.microsoft.com/office/2006/metadata/properties" ma:root="true" ma:fieldsID="ce006551dfe63463a802ba42e25cb508" ns2:_="" ns3:_="">
    <xsd:import namespace="9b11bc97-7b82-46bc-b251-65f5751c3257"/>
    <xsd:import namespace="4d700a4f-a4fc-4514-8813-aa26e61474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11bc97-7b82-46bc-b251-65f5751c32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53b70bdf-14b5-4117-b6e8-6a6aee5611c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700a4f-a4fc-4514-8813-aa26e614746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2c5e277-926d-4a92-9466-8eefb928637e}" ma:internalName="TaxCatchAll" ma:showField="CatchAllData" ma:web="4d700a4f-a4fc-4514-8813-aa26e61474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d700a4f-a4fc-4514-8813-aa26e6147463" xsi:nil="true"/>
    <lcf76f155ced4ddcb4097134ff3c332f xmlns="9b11bc97-7b82-46bc-b251-65f5751c3257">
      <Terms xmlns="http://schemas.microsoft.com/office/infopath/2007/PartnerControls"/>
    </lcf76f155ced4ddcb4097134ff3c332f>
    <MediaLengthInSeconds xmlns="9b11bc97-7b82-46bc-b251-65f5751c325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8741F-9B77-4FC2-A26D-146B8984DD6F}"/>
</file>

<file path=customXml/itemProps2.xml><?xml version="1.0" encoding="utf-8"?>
<ds:datastoreItem xmlns:ds="http://schemas.openxmlformats.org/officeDocument/2006/customXml" ds:itemID="{F86681E0-514E-4E28-AA15-41FA862176F0}">
  <ds:schemaRefs>
    <ds:schemaRef ds:uri="http://schemas.microsoft.com/sharepoint/v3/contenttype/forms"/>
  </ds:schemaRefs>
</ds:datastoreItem>
</file>

<file path=customXml/itemProps3.xml><?xml version="1.0" encoding="utf-8"?>
<ds:datastoreItem xmlns:ds="http://schemas.openxmlformats.org/officeDocument/2006/customXml" ds:itemID="{17A930BF-0603-4068-A8E9-B885E0EFC3BC}">
  <ds:schemaRefs>
    <ds:schemaRef ds:uri="http://schemas.microsoft.com/office/2006/metadata/properties"/>
    <ds:schemaRef ds:uri="http://schemas.microsoft.com/office/infopath/2007/PartnerControls"/>
    <ds:schemaRef ds:uri="8898c998-79be-44de-9e55-d0380ec6829d"/>
    <ds:schemaRef ds:uri="414b4fe1-0bf4-4495-a878-d47fe5581e04"/>
  </ds:schemaRefs>
</ds:datastoreItem>
</file>

<file path=customXml/itemProps4.xml><?xml version="1.0" encoding="utf-8"?>
<ds:datastoreItem xmlns:ds="http://schemas.openxmlformats.org/officeDocument/2006/customXml" ds:itemID="{E6DB091A-E361-4508-9FC2-AF57557B7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1425</Words>
  <Characters>7554</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MTE</dc:creator>
  <cp:lastModifiedBy>Anna Melvås</cp:lastModifiedBy>
  <cp:revision>2</cp:revision>
  <cp:lastPrinted>2020-06-17T14:02:00Z</cp:lastPrinted>
  <dcterms:created xsi:type="dcterms:W3CDTF">2022-10-24T11:09:00Z</dcterms:created>
  <dcterms:modified xsi:type="dcterms:W3CDTF">2022-10-24T11:09:00Z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0x010100DDCB30E66916EF4ABC5FC3661EB472C8</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