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1881" w14:textId="0D2BDEFF" w:rsidR="00853B9C" w:rsidRDefault="00853B9C" w:rsidP="00DF3174"/>
    <w:p w14:paraId="24CE8931" w14:textId="65CB3B25" w:rsidR="00FD0CA5" w:rsidRDefault="00FD0CA5" w:rsidP="00FD0CA5">
      <w:pPr>
        <w:rPr>
          <w:lang w:val="en-US"/>
        </w:rPr>
      </w:pPr>
      <w:r>
        <w:rPr>
          <w:lang w:val="en-US"/>
        </w:rPr>
        <w:t>2020-08-</w:t>
      </w:r>
      <w:r w:rsidR="00664DB1">
        <w:rPr>
          <w:lang w:val="en-US"/>
        </w:rPr>
        <w:t>31</w:t>
      </w:r>
    </w:p>
    <w:p w14:paraId="6716A012" w14:textId="313DA422" w:rsidR="00453001" w:rsidRDefault="00453001" w:rsidP="00FD0CA5">
      <w:pPr>
        <w:pStyle w:val="Rubrik1"/>
        <w:rPr>
          <w:lang w:val="en-US"/>
        </w:rPr>
      </w:pPr>
      <w:r w:rsidRPr="00453001">
        <w:rPr>
          <w:lang w:val="en-US"/>
        </w:rPr>
        <w:t>ECHA public consultation on t</w:t>
      </w:r>
      <w:r>
        <w:rPr>
          <w:lang w:val="en-US"/>
        </w:rPr>
        <w:t>he draft opinion of the Committee of Socio-Economic Analysis (SEAC)</w:t>
      </w:r>
    </w:p>
    <w:p w14:paraId="5294D238" w14:textId="62954B99" w:rsidR="00453001" w:rsidRDefault="00453001" w:rsidP="00DF3174">
      <w:pPr>
        <w:rPr>
          <w:lang w:val="en-US"/>
        </w:rPr>
      </w:pPr>
    </w:p>
    <w:p w14:paraId="148225DB" w14:textId="6FA893DE" w:rsidR="00FD0CA5" w:rsidRDefault="00FD0CA5" w:rsidP="00FD0CA5">
      <w:pPr>
        <w:pStyle w:val="Rubrik2"/>
        <w:rPr>
          <w:lang w:val="en-US"/>
        </w:rPr>
      </w:pPr>
      <w:r>
        <w:rPr>
          <w:lang w:val="en-US"/>
        </w:rPr>
        <w:t>Section I and II</w:t>
      </w:r>
    </w:p>
    <w:p w14:paraId="569EA572" w14:textId="296C1554" w:rsidR="00FD0CA5" w:rsidRPr="00FD0CA5" w:rsidRDefault="006C3021" w:rsidP="00DF3174">
      <w:pPr>
        <w:rPr>
          <w:lang w:val="en-US"/>
        </w:rPr>
      </w:pPr>
      <w:r>
        <w:rPr>
          <w:lang w:val="en-US"/>
        </w:rPr>
        <w:t>The Swedish Cosmetics, Toiletries and Detergents Association</w:t>
      </w:r>
      <w:r w:rsidR="00FD0CA5" w:rsidRPr="00FD0CA5">
        <w:rPr>
          <w:lang w:val="en-US"/>
        </w:rPr>
        <w:t xml:space="preserve">, </w:t>
      </w:r>
      <w:proofErr w:type="spellStart"/>
      <w:r w:rsidR="00FD0CA5" w:rsidRPr="00FD0CA5">
        <w:rPr>
          <w:lang w:val="en-US"/>
        </w:rPr>
        <w:t>KoHF</w:t>
      </w:r>
      <w:proofErr w:type="spellEnd"/>
      <w:r w:rsidR="00FD0CA5" w:rsidRPr="00FD0CA5">
        <w:rPr>
          <w:lang w:val="en-US"/>
        </w:rPr>
        <w:t>, and The Swedish Association of Professional Hygiene &amp; Cleaning</w:t>
      </w:r>
      <w:r w:rsidR="00FD0CA5">
        <w:rPr>
          <w:lang w:val="en-US"/>
        </w:rPr>
        <w:t>, BPHR</w:t>
      </w:r>
    </w:p>
    <w:p w14:paraId="1205F6DB" w14:textId="5FF308B1" w:rsidR="00FD0CA5" w:rsidRDefault="00FD0CA5" w:rsidP="00DF3174">
      <w:pPr>
        <w:rPr>
          <w:lang w:val="en-US"/>
        </w:rPr>
      </w:pPr>
      <w:r>
        <w:rPr>
          <w:lang w:val="en-US"/>
        </w:rPr>
        <w:t>Industry Association</w:t>
      </w:r>
    </w:p>
    <w:p w14:paraId="09A148BE" w14:textId="3E51D728" w:rsidR="00FD0CA5" w:rsidRDefault="00FD0CA5" w:rsidP="00DF3174">
      <w:pPr>
        <w:rPr>
          <w:lang w:val="en-US"/>
        </w:rPr>
      </w:pPr>
      <w:r>
        <w:rPr>
          <w:lang w:val="en-US"/>
        </w:rPr>
        <w:t>Public answer</w:t>
      </w:r>
    </w:p>
    <w:p w14:paraId="64B7FEE8" w14:textId="01BB0146" w:rsidR="00FD0CA5" w:rsidRDefault="00FD0CA5" w:rsidP="00DF3174">
      <w:pPr>
        <w:rPr>
          <w:lang w:val="en-US"/>
        </w:rPr>
      </w:pPr>
    </w:p>
    <w:p w14:paraId="7E2C789F" w14:textId="21FD218D" w:rsidR="00FD0CA5" w:rsidRDefault="00FD0CA5" w:rsidP="00FD0CA5">
      <w:pPr>
        <w:pStyle w:val="Rubrik2"/>
        <w:rPr>
          <w:lang w:val="en-US"/>
        </w:rPr>
      </w:pPr>
      <w:r>
        <w:rPr>
          <w:lang w:val="en-US"/>
        </w:rPr>
        <w:t>Section III</w:t>
      </w:r>
    </w:p>
    <w:p w14:paraId="06FCDC44" w14:textId="7319A235" w:rsidR="00FD0CA5" w:rsidRDefault="00FD0CA5" w:rsidP="00DF3174">
      <w:pPr>
        <w:rPr>
          <w:lang w:val="en-US"/>
        </w:rPr>
      </w:pPr>
    </w:p>
    <w:p w14:paraId="51BA89F5" w14:textId="44D5AE84" w:rsidR="007F49C3" w:rsidRDefault="00CF207E" w:rsidP="00DF3174">
      <w:pPr>
        <w:rPr>
          <w:lang w:val="en-US"/>
        </w:rPr>
      </w:pPr>
      <w:r>
        <w:rPr>
          <w:lang w:val="en-US"/>
        </w:rPr>
        <w:t>We support that proportionate and science-based action is taken to decrease microplastics in the environment. Cosmetic products and detergents are not the main contributors to the release of microplastics in the environment</w:t>
      </w:r>
      <w:r w:rsidR="007F49C3">
        <w:rPr>
          <w:lang w:val="en-US"/>
        </w:rPr>
        <w:t xml:space="preserve">, why it is even more important that regulatory actions are </w:t>
      </w:r>
      <w:r w:rsidR="00907938">
        <w:rPr>
          <w:lang w:val="en-US"/>
        </w:rPr>
        <w:t xml:space="preserve">thoroughly </w:t>
      </w:r>
      <w:r w:rsidR="007F49C3">
        <w:rPr>
          <w:lang w:val="en-US"/>
        </w:rPr>
        <w:t>motivated.</w:t>
      </w:r>
    </w:p>
    <w:p w14:paraId="113701A5" w14:textId="77777777" w:rsidR="00B05B27" w:rsidRDefault="007F49C3" w:rsidP="00DF3174">
      <w:pPr>
        <w:rPr>
          <w:lang w:val="en-US"/>
        </w:rPr>
      </w:pPr>
      <w:r>
        <w:rPr>
          <w:lang w:val="en-US"/>
        </w:rPr>
        <w:t>Many thousands of products will need reformulation if the proposed regulation is implemented. The most important aspect is to give enough time for development of alternativ</w:t>
      </w:r>
      <w:r w:rsidR="00907938">
        <w:rPr>
          <w:lang w:val="en-US"/>
        </w:rPr>
        <w:t>e raw materials and ingredients to fulfill the same function as the previous ingredients</w:t>
      </w:r>
      <w:r>
        <w:rPr>
          <w:lang w:val="en-US"/>
        </w:rPr>
        <w:t xml:space="preserve">. </w:t>
      </w:r>
    </w:p>
    <w:p w14:paraId="08EBD463" w14:textId="1D7A0B88" w:rsidR="008175AF" w:rsidRDefault="008175AF" w:rsidP="008175AF">
      <w:pPr>
        <w:rPr>
          <w:lang w:val="en-US"/>
        </w:rPr>
      </w:pPr>
      <w:proofErr w:type="spellStart"/>
      <w:r>
        <w:rPr>
          <w:lang w:val="en-US"/>
        </w:rPr>
        <w:t>KoHF</w:t>
      </w:r>
      <w:proofErr w:type="spellEnd"/>
      <w:r>
        <w:rPr>
          <w:lang w:val="en-US"/>
        </w:rPr>
        <w:t xml:space="preserve"> and BPHR support the socio-economic analyses provided by AISE and Cosmetics Europe. The information contained therein is in accordance with the situation in Sweden. </w:t>
      </w:r>
      <w:proofErr w:type="spellStart"/>
      <w:r>
        <w:rPr>
          <w:lang w:val="en-US"/>
        </w:rPr>
        <w:t>KoHF</w:t>
      </w:r>
      <w:proofErr w:type="spellEnd"/>
      <w:r>
        <w:rPr>
          <w:lang w:val="en-US"/>
        </w:rPr>
        <w:t xml:space="preserve"> and BPHR therefor support and refer to comments presented by AISE and Cosmetics Europe to the </w:t>
      </w:r>
      <w:r w:rsidRPr="00937FAE">
        <w:rPr>
          <w:i/>
          <w:iCs/>
          <w:lang w:val="en-US"/>
        </w:rPr>
        <w:t>Consultation on the draft opinion of the Committee of Socio-economic Analysis (SEAC)</w:t>
      </w:r>
      <w:r>
        <w:rPr>
          <w:lang w:val="en-US"/>
        </w:rPr>
        <w:t>.</w:t>
      </w:r>
    </w:p>
    <w:p w14:paraId="7E24D3F6" w14:textId="2D9A74AF" w:rsidR="00937FAE" w:rsidRDefault="00937FAE" w:rsidP="00DF3174">
      <w:pPr>
        <w:rPr>
          <w:lang w:val="en-US"/>
        </w:rPr>
      </w:pPr>
      <w:r>
        <w:rPr>
          <w:lang w:val="en-US"/>
        </w:rPr>
        <w:t xml:space="preserve">Although presented </w:t>
      </w:r>
      <w:r w:rsidR="008175AF">
        <w:rPr>
          <w:lang w:val="en-US"/>
        </w:rPr>
        <w:t>in the mentioned comments on</w:t>
      </w:r>
      <w:r>
        <w:rPr>
          <w:lang w:val="en-US"/>
        </w:rPr>
        <w:t xml:space="preserve"> cosmetic products </w:t>
      </w:r>
      <w:r w:rsidR="008175AF">
        <w:rPr>
          <w:lang w:val="en-US"/>
        </w:rPr>
        <w:t xml:space="preserve">(Cosmetics Europe) </w:t>
      </w:r>
      <w:r>
        <w:rPr>
          <w:lang w:val="en-US"/>
        </w:rPr>
        <w:t xml:space="preserve">specifically </w:t>
      </w:r>
      <w:proofErr w:type="spellStart"/>
      <w:r>
        <w:rPr>
          <w:lang w:val="en-US"/>
        </w:rPr>
        <w:t>KoHF</w:t>
      </w:r>
      <w:proofErr w:type="spellEnd"/>
      <w:r>
        <w:rPr>
          <w:lang w:val="en-US"/>
        </w:rPr>
        <w:t xml:space="preserve"> </w:t>
      </w:r>
      <w:r w:rsidR="008175AF">
        <w:rPr>
          <w:lang w:val="en-US"/>
        </w:rPr>
        <w:t>would like to highlight our p</w:t>
      </w:r>
      <w:r w:rsidRPr="00937FAE">
        <w:rPr>
          <w:lang w:val="en-US"/>
        </w:rPr>
        <w:t xml:space="preserve">osition for a </w:t>
      </w:r>
      <w:r w:rsidR="008175AF">
        <w:rPr>
          <w:lang w:val="en-US"/>
        </w:rPr>
        <w:t>p</w:t>
      </w:r>
      <w:r w:rsidRPr="00937FAE">
        <w:rPr>
          <w:lang w:val="en-US"/>
        </w:rPr>
        <w:t xml:space="preserve">roportionate </w:t>
      </w:r>
      <w:r w:rsidR="008175AF">
        <w:rPr>
          <w:lang w:val="en-US"/>
        </w:rPr>
        <w:t>and effective r</w:t>
      </w:r>
      <w:r w:rsidRPr="00937FAE">
        <w:rPr>
          <w:lang w:val="en-US"/>
        </w:rPr>
        <w:t>estriction</w:t>
      </w:r>
      <w:r w:rsidR="008175AF">
        <w:rPr>
          <w:lang w:val="en-US"/>
        </w:rPr>
        <w:t xml:space="preserve"> on these products </w:t>
      </w:r>
      <w:r w:rsidR="008175AF" w:rsidRPr="008175AF">
        <w:rPr>
          <w:lang w:val="en-US"/>
        </w:rPr>
        <w:t>to address the concerns around the emissions of microplastics in the environment from leave-on cosmetics products</w:t>
      </w:r>
      <w:r>
        <w:rPr>
          <w:lang w:val="en-US"/>
        </w:rPr>
        <w:t>:</w:t>
      </w:r>
    </w:p>
    <w:p w14:paraId="0A940530" w14:textId="77777777" w:rsidR="008175AF" w:rsidRPr="008175AF" w:rsidRDefault="008175AF" w:rsidP="008175AF">
      <w:pPr>
        <w:ind w:left="1304" w:hanging="1304"/>
        <w:rPr>
          <w:i/>
          <w:iCs/>
          <w:lang w:val="en-US"/>
        </w:rPr>
      </w:pPr>
      <w:r w:rsidRPr="008175AF">
        <w:rPr>
          <w:i/>
          <w:iCs/>
          <w:lang w:val="en-US"/>
        </w:rPr>
        <w:t>1.</w:t>
      </w:r>
      <w:r w:rsidRPr="008175AF">
        <w:rPr>
          <w:i/>
          <w:iCs/>
          <w:lang w:val="en-US"/>
        </w:rPr>
        <w:tab/>
        <w:t>A derogation for make-up, including lip and nail products, on the basis that these products are predominantly disposed of in the trash, not the water system, yet the cost-effectiveness for the restriction on make-up is extremely high. To avoid any residual emissions, clear instructions for use and disposal of these products could be provided.</w:t>
      </w:r>
    </w:p>
    <w:p w14:paraId="6B97B11E" w14:textId="77777777" w:rsidR="008175AF" w:rsidRPr="008175AF" w:rsidRDefault="008175AF" w:rsidP="008175AF">
      <w:pPr>
        <w:rPr>
          <w:i/>
          <w:iCs/>
          <w:lang w:val="en-US"/>
        </w:rPr>
      </w:pPr>
      <w:r w:rsidRPr="008175AF">
        <w:rPr>
          <w:i/>
          <w:iCs/>
          <w:lang w:val="en-US"/>
        </w:rPr>
        <w:t>2.</w:t>
      </w:r>
      <w:r w:rsidRPr="008175AF">
        <w:rPr>
          <w:i/>
          <w:iCs/>
          <w:lang w:val="en-US"/>
        </w:rPr>
        <w:tab/>
        <w:t>An eight-year transition period for sunscreen products.</w:t>
      </w:r>
    </w:p>
    <w:p w14:paraId="3572ABF5" w14:textId="77777777" w:rsidR="008175AF" w:rsidRPr="008175AF" w:rsidRDefault="008175AF" w:rsidP="008175AF">
      <w:pPr>
        <w:rPr>
          <w:i/>
          <w:iCs/>
          <w:lang w:val="en-US"/>
        </w:rPr>
      </w:pPr>
      <w:r w:rsidRPr="008175AF">
        <w:rPr>
          <w:i/>
          <w:iCs/>
          <w:lang w:val="en-US"/>
        </w:rPr>
        <w:t>3.</w:t>
      </w:r>
      <w:r w:rsidRPr="008175AF">
        <w:rPr>
          <w:i/>
          <w:iCs/>
          <w:lang w:val="en-US"/>
        </w:rPr>
        <w:tab/>
        <w:t>A twelve-year transition period for skin care products.</w:t>
      </w:r>
    </w:p>
    <w:p w14:paraId="7E9570F3" w14:textId="0B124BF0" w:rsidR="00937FAE" w:rsidRPr="008175AF" w:rsidRDefault="008175AF" w:rsidP="008175AF">
      <w:pPr>
        <w:ind w:left="1304" w:hanging="1304"/>
        <w:rPr>
          <w:i/>
          <w:iCs/>
          <w:lang w:val="en-US"/>
        </w:rPr>
      </w:pPr>
      <w:r w:rsidRPr="008175AF">
        <w:rPr>
          <w:i/>
          <w:iCs/>
          <w:lang w:val="en-US"/>
        </w:rPr>
        <w:lastRenderedPageBreak/>
        <w:t>4.</w:t>
      </w:r>
      <w:r w:rsidRPr="008175AF">
        <w:rPr>
          <w:i/>
          <w:iCs/>
          <w:lang w:val="en-US"/>
        </w:rPr>
        <w:tab/>
        <w:t>A ten-year transition period for other leave-on products.  The transition period extensions are required for technical reasons and will also improve the proportionality of the restriction.</w:t>
      </w:r>
    </w:p>
    <w:p w14:paraId="71F3E517" w14:textId="79C930E8" w:rsidR="0063341A" w:rsidRPr="00246C25" w:rsidRDefault="00246C25" w:rsidP="00B05B27">
      <w:pPr>
        <w:rPr>
          <w:lang w:val="en-US"/>
        </w:rPr>
      </w:pPr>
      <w:r w:rsidRPr="00246C25">
        <w:rPr>
          <w:lang w:val="en-US"/>
        </w:rPr>
        <w:t xml:space="preserve">Regarding detergents and cleaning products, </w:t>
      </w:r>
      <w:proofErr w:type="spellStart"/>
      <w:r w:rsidRPr="00246C25">
        <w:rPr>
          <w:lang w:val="en-US"/>
        </w:rPr>
        <w:t>KoHF</w:t>
      </w:r>
      <w:proofErr w:type="spellEnd"/>
      <w:r w:rsidRPr="00246C25">
        <w:rPr>
          <w:lang w:val="en-US"/>
        </w:rPr>
        <w:t xml:space="preserve"> and BPHR would like to </w:t>
      </w:r>
      <w:r>
        <w:rPr>
          <w:lang w:val="en-US"/>
        </w:rPr>
        <w:t>stress the importance to give enough time to develop alternatives to encapsulated perfumes. Encapsulated perfumes are</w:t>
      </w:r>
      <w:r w:rsidRPr="00246C25">
        <w:rPr>
          <w:lang w:val="en-US"/>
        </w:rPr>
        <w:t xml:space="preserve"> important ingredient</w:t>
      </w:r>
      <w:r>
        <w:rPr>
          <w:lang w:val="en-US"/>
        </w:rPr>
        <w:t xml:space="preserve">s </w:t>
      </w:r>
      <w:r w:rsidR="00664DB1">
        <w:rPr>
          <w:lang w:val="en-US"/>
        </w:rPr>
        <w:t>to the detergent industry since they enable the use of less perfumes in the washing process</w:t>
      </w:r>
      <w:r>
        <w:rPr>
          <w:lang w:val="en-US"/>
        </w:rPr>
        <w:t xml:space="preserve">. </w:t>
      </w:r>
      <w:r w:rsidR="0063341A" w:rsidRPr="00246C25">
        <w:rPr>
          <w:lang w:val="en-US"/>
        </w:rPr>
        <w:t>A transition period of 8 years</w:t>
      </w:r>
      <w:r>
        <w:rPr>
          <w:lang w:val="en-US"/>
        </w:rPr>
        <w:t xml:space="preserve"> in the proposed regulation</w:t>
      </w:r>
      <w:r w:rsidR="0063341A" w:rsidRPr="00246C25">
        <w:rPr>
          <w:lang w:val="en-US"/>
        </w:rPr>
        <w:t xml:space="preserve"> is the absolute minimum for encapsulated perfumes.</w:t>
      </w:r>
    </w:p>
    <w:p w14:paraId="5DF7CAAA" w14:textId="49AC4C32" w:rsidR="00CF207E" w:rsidRPr="00246C25" w:rsidRDefault="006F7022" w:rsidP="00B05B27">
      <w:pPr>
        <w:rPr>
          <w:lang w:val="en-US"/>
        </w:rPr>
      </w:pPr>
      <w:proofErr w:type="spellStart"/>
      <w:r w:rsidRPr="00246C25">
        <w:rPr>
          <w:lang w:val="en-US"/>
        </w:rPr>
        <w:t>KoHF</w:t>
      </w:r>
      <w:proofErr w:type="spellEnd"/>
      <w:r w:rsidRPr="00246C25">
        <w:rPr>
          <w:lang w:val="en-US"/>
        </w:rPr>
        <w:t xml:space="preserve"> support the overall initiative </w:t>
      </w:r>
      <w:r w:rsidR="0048783A" w:rsidRPr="00246C25">
        <w:rPr>
          <w:lang w:val="en-US"/>
        </w:rPr>
        <w:t xml:space="preserve">by the EU legislators to propose the regulation of microplastics at an EU level, thereby </w:t>
      </w:r>
      <w:r w:rsidR="00B05B27" w:rsidRPr="00246C25">
        <w:rPr>
          <w:lang w:val="en-US"/>
        </w:rPr>
        <w:t>respec</w:t>
      </w:r>
      <w:r w:rsidR="0048783A" w:rsidRPr="00246C25">
        <w:rPr>
          <w:lang w:val="en-US"/>
        </w:rPr>
        <w:t>ting</w:t>
      </w:r>
      <w:r w:rsidRPr="00246C25">
        <w:rPr>
          <w:lang w:val="en-US"/>
        </w:rPr>
        <w:t xml:space="preserve"> </w:t>
      </w:r>
      <w:r w:rsidR="00B05B27" w:rsidRPr="00246C25">
        <w:rPr>
          <w:lang w:val="en-US"/>
        </w:rPr>
        <w:t xml:space="preserve">the Single Market’s principles. </w:t>
      </w:r>
    </w:p>
    <w:p w14:paraId="1BC2837C" w14:textId="77777777" w:rsidR="008C5398" w:rsidRPr="00453001" w:rsidRDefault="008C5398" w:rsidP="008C5398">
      <w:pPr>
        <w:rPr>
          <w:lang w:val="en-US"/>
        </w:rPr>
      </w:pPr>
    </w:p>
    <w:p w14:paraId="21620056" w14:textId="330A2F52" w:rsidR="008C5398" w:rsidRDefault="005A1CDF" w:rsidP="005A1CDF">
      <w:pPr>
        <w:pStyle w:val="Rubrik2"/>
        <w:rPr>
          <w:lang w:val="en-US"/>
        </w:rPr>
      </w:pPr>
      <w:r>
        <w:rPr>
          <w:lang w:val="en-US"/>
        </w:rPr>
        <w:t>Specific Information Requests</w:t>
      </w:r>
    </w:p>
    <w:p w14:paraId="28C63A00" w14:textId="77777777" w:rsidR="005A1CDF" w:rsidRPr="00453001" w:rsidRDefault="005A1CDF" w:rsidP="008C5398">
      <w:pPr>
        <w:rPr>
          <w:lang w:val="en-US"/>
        </w:rPr>
      </w:pPr>
    </w:p>
    <w:p w14:paraId="1107C241" w14:textId="77777777" w:rsidR="00CF7816" w:rsidRDefault="005A1CDF" w:rsidP="00CF7816">
      <w:pPr>
        <w:pStyle w:val="Rubrik3"/>
        <w:rPr>
          <w:lang w:val="en-US"/>
        </w:rPr>
      </w:pPr>
      <w:r>
        <w:rPr>
          <w:lang w:val="en-US"/>
        </w:rPr>
        <w:t xml:space="preserve">4. </w:t>
      </w:r>
      <w:r w:rsidR="00CF7816">
        <w:rPr>
          <w:lang w:val="en-US"/>
        </w:rPr>
        <w:t>Encapsulated perfumes</w:t>
      </w:r>
    </w:p>
    <w:p w14:paraId="50A11765" w14:textId="25D900FD" w:rsidR="008C5398" w:rsidRDefault="005A1CDF" w:rsidP="008C5398">
      <w:pPr>
        <w:rPr>
          <w:lang w:val="en-US"/>
        </w:rPr>
      </w:pPr>
      <w:r>
        <w:rPr>
          <w:lang w:val="en-US"/>
        </w:rPr>
        <w:t>We support a transition period of 8 years</w:t>
      </w:r>
      <w:r w:rsidR="0025268B">
        <w:rPr>
          <w:lang w:val="en-US"/>
        </w:rPr>
        <w:t xml:space="preserve"> for encapsulated perfumes. There are no alternatives available in the Swedish market</w:t>
      </w:r>
      <w:r w:rsidR="00907938">
        <w:rPr>
          <w:lang w:val="en-US"/>
        </w:rPr>
        <w:t>. W</w:t>
      </w:r>
      <w:r w:rsidR="0025268B">
        <w:rPr>
          <w:lang w:val="en-US"/>
        </w:rPr>
        <w:t>e understand it will take several years before alternatives have been developed and are put on the market</w:t>
      </w:r>
      <w:r w:rsidR="00907938">
        <w:rPr>
          <w:lang w:val="en-US"/>
        </w:rPr>
        <w:t xml:space="preserve"> as raw material. New raw materials need to be tested and evaluated before they can be included in final cosmetic product or detergent</w:t>
      </w:r>
      <w:r w:rsidR="0025268B">
        <w:rPr>
          <w:lang w:val="en-US"/>
        </w:rPr>
        <w:t xml:space="preserve">. </w:t>
      </w:r>
      <w:r w:rsidR="00FB40B8">
        <w:rPr>
          <w:lang w:val="en-US"/>
        </w:rPr>
        <w:t xml:space="preserve">We support the socio-economic analysis done by AISE and </w:t>
      </w:r>
      <w:proofErr w:type="spellStart"/>
      <w:r w:rsidR="00FB40B8">
        <w:rPr>
          <w:lang w:val="en-US"/>
        </w:rPr>
        <w:t>CosmeticsEurope</w:t>
      </w:r>
      <w:proofErr w:type="spellEnd"/>
      <w:r w:rsidR="00907938">
        <w:rPr>
          <w:lang w:val="en-US"/>
        </w:rPr>
        <w:t xml:space="preserve"> and the comments they have put forward in the consultation process</w:t>
      </w:r>
      <w:r w:rsidR="00FB40B8">
        <w:rPr>
          <w:lang w:val="en-US"/>
        </w:rPr>
        <w:t>.</w:t>
      </w:r>
    </w:p>
    <w:p w14:paraId="3C869519" w14:textId="77777777" w:rsidR="00CF7816" w:rsidRDefault="00FB40B8" w:rsidP="00CF7816">
      <w:pPr>
        <w:pStyle w:val="Rubrik3"/>
        <w:rPr>
          <w:lang w:val="en-US"/>
        </w:rPr>
      </w:pPr>
      <w:r>
        <w:rPr>
          <w:lang w:val="en-US"/>
        </w:rPr>
        <w:t xml:space="preserve">6. </w:t>
      </w:r>
      <w:r w:rsidR="00CF7816">
        <w:rPr>
          <w:lang w:val="en-US"/>
        </w:rPr>
        <w:t>Report information on uses and releases</w:t>
      </w:r>
    </w:p>
    <w:p w14:paraId="06E82F66" w14:textId="1131CDB5" w:rsidR="00FB40B8" w:rsidRPr="00453001" w:rsidRDefault="00FB40B8" w:rsidP="008C5398">
      <w:pPr>
        <w:rPr>
          <w:lang w:val="en-US"/>
        </w:rPr>
      </w:pPr>
      <w:r>
        <w:rPr>
          <w:lang w:val="en-US"/>
        </w:rPr>
        <w:t>We support the increase in transition period for the reporting obligation.</w:t>
      </w:r>
      <w:r w:rsidR="00907938">
        <w:rPr>
          <w:lang w:val="en-US"/>
        </w:rPr>
        <w:t xml:space="preserve"> However, we believe that there are more efficient ways to get information on microplastics in the environment and potential releases in certain situations</w:t>
      </w:r>
      <w:r w:rsidR="0063341A">
        <w:rPr>
          <w:lang w:val="en-US"/>
        </w:rPr>
        <w:t xml:space="preserve"> than to set up a database</w:t>
      </w:r>
      <w:r w:rsidR="00246C25">
        <w:rPr>
          <w:lang w:val="en-US"/>
        </w:rPr>
        <w:t>, for instance screening tests</w:t>
      </w:r>
      <w:r w:rsidR="00907938">
        <w:rPr>
          <w:lang w:val="en-US"/>
        </w:rPr>
        <w:t xml:space="preserve">. </w:t>
      </w:r>
      <w:r w:rsidR="0063341A">
        <w:rPr>
          <w:lang w:val="en-US"/>
        </w:rPr>
        <w:t>To decrease the administrative burden a minimum reporting threshold should be introduced</w:t>
      </w:r>
      <w:r w:rsidR="00664DB1">
        <w:rPr>
          <w:lang w:val="en-US"/>
        </w:rPr>
        <w:t xml:space="preserve"> in the regulation</w:t>
      </w:r>
      <w:r w:rsidR="00246C25">
        <w:rPr>
          <w:lang w:val="en-US"/>
        </w:rPr>
        <w:t>. It would also decrease the administrative burden to</w:t>
      </w:r>
      <w:r w:rsidR="00D92039">
        <w:rPr>
          <w:lang w:val="en-US"/>
        </w:rPr>
        <w:t xml:space="preserve"> only </w:t>
      </w:r>
      <w:r w:rsidR="0063341A">
        <w:rPr>
          <w:lang w:val="en-US"/>
        </w:rPr>
        <w:t xml:space="preserve">report the amount of polymer </w:t>
      </w:r>
      <w:r w:rsidR="00246C25">
        <w:rPr>
          <w:lang w:val="en-US"/>
        </w:rPr>
        <w:t xml:space="preserve">and </w:t>
      </w:r>
      <w:r w:rsidR="0063341A">
        <w:rPr>
          <w:lang w:val="en-US"/>
        </w:rPr>
        <w:t>not the specific polymer type.</w:t>
      </w:r>
      <w:r w:rsidR="00D92039">
        <w:rPr>
          <w:lang w:val="en-US"/>
        </w:rPr>
        <w:t xml:space="preserve"> We support the comments made by the Swedish Paint and Adhesives Association, SVEFF.</w:t>
      </w:r>
    </w:p>
    <w:p w14:paraId="4F0B4DF0" w14:textId="77777777" w:rsidR="008C5398" w:rsidRPr="00453001" w:rsidRDefault="008C5398" w:rsidP="008C5398">
      <w:pPr>
        <w:rPr>
          <w:lang w:val="en-US"/>
        </w:rPr>
      </w:pPr>
    </w:p>
    <w:p w14:paraId="7FB9DEA1" w14:textId="77777777" w:rsidR="008C5398" w:rsidRPr="00453001" w:rsidRDefault="008C5398" w:rsidP="008C5398">
      <w:pPr>
        <w:rPr>
          <w:lang w:val="en-US"/>
        </w:rPr>
      </w:pPr>
    </w:p>
    <w:p w14:paraId="189EBCA7" w14:textId="77777777" w:rsidR="003C5B60" w:rsidRPr="00453001" w:rsidRDefault="008C5398" w:rsidP="008C5398">
      <w:pPr>
        <w:tabs>
          <w:tab w:val="left" w:pos="1695"/>
        </w:tabs>
        <w:rPr>
          <w:lang w:val="en-US"/>
        </w:rPr>
      </w:pPr>
      <w:r w:rsidRPr="00453001">
        <w:rPr>
          <w:lang w:val="en-US"/>
        </w:rPr>
        <w:tab/>
      </w:r>
    </w:p>
    <w:sectPr w:rsidR="003C5B60" w:rsidRPr="00453001" w:rsidSect="003C5B6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B409" w14:textId="77777777" w:rsidR="0051314F" w:rsidRDefault="0051314F" w:rsidP="003C5B60">
      <w:pPr>
        <w:spacing w:after="0" w:line="240" w:lineRule="auto"/>
      </w:pPr>
      <w:r>
        <w:separator/>
      </w:r>
    </w:p>
  </w:endnote>
  <w:endnote w:type="continuationSeparator" w:id="0">
    <w:p w14:paraId="3BEAF186" w14:textId="77777777" w:rsidR="0051314F" w:rsidRDefault="0051314F" w:rsidP="003C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2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1424"/>
      <w:gridCol w:w="3208"/>
      <w:gridCol w:w="873"/>
      <w:gridCol w:w="1476"/>
    </w:tblGrid>
    <w:tr w:rsidR="00907640" w:rsidRPr="008C5398" w14:paraId="2285EABE" w14:textId="77777777" w:rsidTr="00907640">
      <w:trPr>
        <w:trHeight w:hRule="exact" w:val="278"/>
      </w:trPr>
      <w:tc>
        <w:tcPr>
          <w:tcW w:w="2244" w:type="dxa"/>
          <w:tcBorders>
            <w:top w:val="single" w:sz="4" w:space="0" w:color="auto"/>
          </w:tcBorders>
        </w:tcPr>
        <w:p w14:paraId="2271FD6F" w14:textId="77777777" w:rsidR="00907640" w:rsidRPr="008C5398" w:rsidRDefault="0090764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BESÖKSADRESS</w:t>
          </w:r>
        </w:p>
      </w:tc>
      <w:tc>
        <w:tcPr>
          <w:tcW w:w="1424" w:type="dxa"/>
          <w:tcBorders>
            <w:top w:val="single" w:sz="4" w:space="0" w:color="auto"/>
          </w:tcBorders>
        </w:tcPr>
        <w:p w14:paraId="0A14422D" w14:textId="77777777" w:rsidR="00907640" w:rsidRPr="008C5398" w:rsidRDefault="0090764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3208" w:type="dxa"/>
          <w:tcBorders>
            <w:top w:val="single" w:sz="4" w:space="0" w:color="auto"/>
          </w:tcBorders>
        </w:tcPr>
        <w:p w14:paraId="463B6A53" w14:textId="77777777" w:rsidR="00907640" w:rsidRPr="008C5398" w:rsidRDefault="0090764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POSTADRESS</w:t>
          </w:r>
        </w:p>
      </w:tc>
      <w:tc>
        <w:tcPr>
          <w:tcW w:w="873" w:type="dxa"/>
          <w:tcBorders>
            <w:top w:val="single" w:sz="4" w:space="0" w:color="auto"/>
          </w:tcBorders>
        </w:tcPr>
        <w:p w14:paraId="706AD1E8" w14:textId="77777777" w:rsidR="00907640" w:rsidRPr="008C5398" w:rsidRDefault="0090764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1476" w:type="dxa"/>
          <w:tcBorders>
            <w:top w:val="single" w:sz="4" w:space="0" w:color="auto"/>
          </w:tcBorders>
        </w:tcPr>
        <w:p w14:paraId="4D03B6BA" w14:textId="77777777" w:rsidR="00907640" w:rsidRPr="008C5398" w:rsidRDefault="0090764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WEBB</w:t>
          </w:r>
        </w:p>
      </w:tc>
    </w:tr>
    <w:tr w:rsidR="00907640" w14:paraId="6A610959" w14:textId="77777777" w:rsidTr="00907640">
      <w:trPr>
        <w:trHeight w:hRule="exact" w:val="278"/>
      </w:trPr>
      <w:tc>
        <w:tcPr>
          <w:tcW w:w="2244" w:type="dxa"/>
        </w:tcPr>
        <w:p w14:paraId="068B4774" w14:textId="77777777" w:rsidR="00907640" w:rsidRDefault="00907640" w:rsidP="003C5B60">
          <w:pPr>
            <w:spacing w:after="0" w:line="240" w:lineRule="auto"/>
            <w:rPr>
              <w:b/>
              <w:color w:val="44546A" w:themeColor="text2"/>
              <w:sz w:val="14"/>
              <w:lang w:val="en-GB"/>
            </w:rPr>
          </w:pPr>
          <w:proofErr w:type="spellStart"/>
          <w:r w:rsidRPr="00A05503">
            <w:rPr>
              <w:color w:val="7F7F7F" w:themeColor="text1" w:themeTint="80"/>
              <w:sz w:val="14"/>
              <w:lang w:val="en-GB"/>
            </w:rPr>
            <w:t>Storgatan</w:t>
          </w:r>
          <w:proofErr w:type="spellEnd"/>
          <w:r w:rsidRPr="00A05503">
            <w:rPr>
              <w:color w:val="7F7F7F" w:themeColor="text1" w:themeTint="80"/>
              <w:sz w:val="14"/>
              <w:lang w:val="en-GB"/>
            </w:rPr>
            <w:t xml:space="preserve"> 19</w:t>
          </w:r>
        </w:p>
      </w:tc>
      <w:tc>
        <w:tcPr>
          <w:tcW w:w="1424" w:type="dxa"/>
        </w:tcPr>
        <w:p w14:paraId="2840EB1C" w14:textId="77777777" w:rsidR="00907640" w:rsidRPr="00A757D6" w:rsidRDefault="0090764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3208" w:type="dxa"/>
        </w:tcPr>
        <w:p w14:paraId="5D884CF7" w14:textId="77777777" w:rsidR="00907640" w:rsidRDefault="0090764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Box 5501</w:t>
          </w:r>
        </w:p>
      </w:tc>
      <w:tc>
        <w:tcPr>
          <w:tcW w:w="873" w:type="dxa"/>
        </w:tcPr>
        <w:p w14:paraId="50FD779F" w14:textId="77777777" w:rsidR="00907640" w:rsidRPr="00A757D6" w:rsidRDefault="0090764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476" w:type="dxa"/>
        </w:tcPr>
        <w:p w14:paraId="26E2EB13" w14:textId="77777777" w:rsidR="00907640" w:rsidRDefault="0090764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www</w:t>
          </w:r>
          <w:r>
            <w:rPr>
              <w:color w:val="7F7F7F" w:themeColor="text1" w:themeTint="80"/>
              <w:sz w:val="14"/>
              <w:lang w:val="en-GB"/>
            </w:rPr>
            <w:t>.kohf.se</w:t>
          </w:r>
        </w:p>
      </w:tc>
    </w:tr>
    <w:tr w:rsidR="00907640" w14:paraId="345A1281" w14:textId="77777777" w:rsidTr="00907640">
      <w:trPr>
        <w:trHeight w:hRule="exact" w:val="278"/>
      </w:trPr>
      <w:tc>
        <w:tcPr>
          <w:tcW w:w="2244" w:type="dxa"/>
        </w:tcPr>
        <w:p w14:paraId="27B0862E" w14:textId="77777777" w:rsidR="00907640" w:rsidRPr="00A05503" w:rsidRDefault="00907640" w:rsidP="003C5B60">
          <w:pPr>
            <w:spacing w:after="0" w:line="240" w:lineRule="auto"/>
            <w:rPr>
              <w:color w:val="7F7F7F" w:themeColor="text1" w:themeTint="80"/>
              <w:sz w:val="14"/>
              <w:lang w:val="en-GB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Stockholm</w:t>
          </w:r>
        </w:p>
      </w:tc>
      <w:tc>
        <w:tcPr>
          <w:tcW w:w="1424" w:type="dxa"/>
        </w:tcPr>
        <w:p w14:paraId="3A186D4D" w14:textId="77777777" w:rsidR="00907640" w:rsidRPr="00A757D6" w:rsidRDefault="0090764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3208" w:type="dxa"/>
        </w:tcPr>
        <w:p w14:paraId="5625ED9A" w14:textId="77777777" w:rsidR="00907640" w:rsidRDefault="0090764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SE-114 85 Stockholm</w:t>
          </w:r>
        </w:p>
      </w:tc>
      <w:tc>
        <w:tcPr>
          <w:tcW w:w="873" w:type="dxa"/>
        </w:tcPr>
        <w:p w14:paraId="0819037E" w14:textId="77777777" w:rsidR="00907640" w:rsidRPr="00A757D6" w:rsidRDefault="0090764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476" w:type="dxa"/>
        </w:tcPr>
        <w:p w14:paraId="42A7A462" w14:textId="77777777" w:rsidR="00907640" w:rsidRPr="00A757D6" w:rsidRDefault="0090764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</w:tr>
  </w:tbl>
  <w:p w14:paraId="7E849C9A" w14:textId="77777777" w:rsidR="003C5B60" w:rsidRPr="00264276" w:rsidRDefault="003C5B60" w:rsidP="003C5B60">
    <w:pPr>
      <w:pStyle w:val="Sidfot"/>
      <w:rPr>
        <w:color w:val="7F7F7F" w:themeColor="text1" w:themeTint="80"/>
        <w:sz w:val="2"/>
        <w:szCs w:val="2"/>
      </w:rPr>
    </w:pPr>
  </w:p>
  <w:p w14:paraId="4078B38F" w14:textId="77777777" w:rsidR="003C5B60" w:rsidRDefault="003C5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583F" w14:textId="77777777" w:rsidR="0051314F" w:rsidRDefault="0051314F" w:rsidP="003C5B60">
      <w:pPr>
        <w:spacing w:after="0" w:line="240" w:lineRule="auto"/>
      </w:pPr>
      <w:r>
        <w:separator/>
      </w:r>
    </w:p>
  </w:footnote>
  <w:footnote w:type="continuationSeparator" w:id="0">
    <w:p w14:paraId="6AF2EE9A" w14:textId="77777777" w:rsidR="0051314F" w:rsidRDefault="0051314F" w:rsidP="003C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9F66" w14:textId="77777777" w:rsidR="003C5B60" w:rsidRDefault="008C5398">
    <w:pPr>
      <w:pStyle w:val="Sidhuvud"/>
    </w:pPr>
    <w:r w:rsidRPr="00114913">
      <w:rPr>
        <w:noProof/>
        <w:sz w:val="32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2A7451" wp14:editId="29BD31AD">
              <wp:simplePos x="0" y="0"/>
              <wp:positionH relativeFrom="column">
                <wp:posOffset>-2002155</wp:posOffset>
              </wp:positionH>
              <wp:positionV relativeFrom="page">
                <wp:posOffset>1188085</wp:posOffset>
              </wp:positionV>
              <wp:extent cx="9144000" cy="68400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112FD" id="Rektangel 8" o:spid="_x0000_s1026" style="position:absolute;margin-left:-157.65pt;margin-top:93.55pt;width:10in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" fillcolor="#bfbfbf [2412]" stroked="f" strokeweight=".5pt">
              <w10:wrap anchory="page"/>
            </v:rect>
          </w:pict>
        </mc:Fallback>
      </mc:AlternateContent>
    </w:r>
    <w:r w:rsidR="003C5B60">
      <w:rPr>
        <w:noProof/>
        <w:lang w:eastAsia="sv-SE"/>
      </w:rPr>
      <w:drawing>
        <wp:inline distT="0" distB="0" distL="0" distR="0" wp14:anchorId="5A27830D" wp14:editId="38DB7552">
          <wp:extent cx="1281937" cy="61268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7" cy="6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3C5B60" w:rsidRPr="00317469" w14:paraId="3C0574D3" w14:textId="77777777" w:rsidTr="00447B11">
      <w:trPr>
        <w:trHeight w:val="113"/>
      </w:trPr>
      <w:tc>
        <w:tcPr>
          <w:tcW w:w="3261" w:type="dxa"/>
        </w:tcPr>
        <w:p w14:paraId="5210D974" w14:textId="77777777" w:rsidR="003C5B60" w:rsidRPr="00317469" w:rsidRDefault="003C5B60" w:rsidP="003C5B6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US"/>
            </w:rPr>
          </w:pPr>
        </w:p>
      </w:tc>
      <w:tc>
        <w:tcPr>
          <w:tcW w:w="6819" w:type="dxa"/>
        </w:tcPr>
        <w:p w14:paraId="6B732954" w14:textId="77777777" w:rsidR="003C5B60" w:rsidRPr="00020A55" w:rsidRDefault="003C5B60" w:rsidP="003C5B6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US"/>
            </w:rPr>
          </w:pPr>
        </w:p>
      </w:tc>
    </w:tr>
  </w:tbl>
  <w:p w14:paraId="385F9F7D" w14:textId="77777777" w:rsidR="003C5B60" w:rsidRPr="003C5B60" w:rsidRDefault="008C5398" w:rsidP="003C5B60">
    <w:pPr>
      <w:pStyle w:val="Ingetavstnd"/>
      <w:rPr>
        <w:sz w:val="32"/>
      </w:rPr>
    </w:pPr>
    <w:r w:rsidRPr="003C5B60">
      <w:rPr>
        <w:rFonts w:ascii="Calibri" w:eastAsia="Calibri" w:hAnsi="Calibri" w:cs="Times New Roman"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09E55" wp14:editId="22371107">
              <wp:simplePos x="0" y="0"/>
              <wp:positionH relativeFrom="column">
                <wp:posOffset>-2002155</wp:posOffset>
              </wp:positionH>
              <wp:positionV relativeFrom="page">
                <wp:posOffset>1261745</wp:posOffset>
              </wp:positionV>
              <wp:extent cx="9144000" cy="68400"/>
              <wp:effectExtent l="0" t="0" r="0" b="8255"/>
              <wp:wrapNone/>
              <wp:docPr id="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rgbClr val="E5243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B9703" id="Rektangel 12" o:spid="_x0000_s1026" style="position:absolute;margin-left:-157.65pt;margin-top:99.35pt;width:10in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" fillcolor="#e52439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DEF"/>
    <w:multiLevelType w:val="hybridMultilevel"/>
    <w:tmpl w:val="ECF40F8C"/>
    <w:lvl w:ilvl="0" w:tplc="2CCACFA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1"/>
    <w:rsid w:val="000F52DF"/>
    <w:rsid w:val="001733ED"/>
    <w:rsid w:val="00246C25"/>
    <w:rsid w:val="0025268B"/>
    <w:rsid w:val="003C5B60"/>
    <w:rsid w:val="00453001"/>
    <w:rsid w:val="0048783A"/>
    <w:rsid w:val="0051314F"/>
    <w:rsid w:val="005A1CDF"/>
    <w:rsid w:val="005B3F80"/>
    <w:rsid w:val="0063341A"/>
    <w:rsid w:val="00664DB1"/>
    <w:rsid w:val="006C3021"/>
    <w:rsid w:val="006F7022"/>
    <w:rsid w:val="007F49C3"/>
    <w:rsid w:val="008175AF"/>
    <w:rsid w:val="008530BF"/>
    <w:rsid w:val="00853B9C"/>
    <w:rsid w:val="008C5398"/>
    <w:rsid w:val="00907640"/>
    <w:rsid w:val="00907938"/>
    <w:rsid w:val="00937FAE"/>
    <w:rsid w:val="00B00288"/>
    <w:rsid w:val="00B05B27"/>
    <w:rsid w:val="00B82D6F"/>
    <w:rsid w:val="00CF207E"/>
    <w:rsid w:val="00CF7816"/>
    <w:rsid w:val="00D641B4"/>
    <w:rsid w:val="00D92039"/>
    <w:rsid w:val="00D93908"/>
    <w:rsid w:val="00DF3174"/>
    <w:rsid w:val="00ED66F8"/>
    <w:rsid w:val="00FB40B8"/>
    <w:rsid w:val="00FD0CA5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6E9B7"/>
  <w15:chartTrackingRefBased/>
  <w15:docId w15:val="{F6F52522-CF99-47EE-916E-F116CA37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5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5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E5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E54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B60"/>
  </w:style>
  <w:style w:type="paragraph" w:styleId="Sidfot">
    <w:name w:val="footer"/>
    <w:basedOn w:val="Normal"/>
    <w:link w:val="SidfotChar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C5B60"/>
  </w:style>
  <w:style w:type="paragraph" w:styleId="Ingetavstnd">
    <w:name w:val="No Spacing"/>
    <w:link w:val="IngetavstndChar"/>
    <w:uiPriority w:val="1"/>
    <w:qFormat/>
    <w:rsid w:val="003C5B60"/>
    <w:pPr>
      <w:spacing w:after="0" w:line="240" w:lineRule="auto"/>
    </w:pPr>
    <w:rPr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C5B60"/>
    <w:rPr>
      <w:lang w:eastAsia="sv-SE"/>
    </w:rPr>
  </w:style>
  <w:style w:type="table" w:styleId="Tabellrutnt">
    <w:name w:val="Table Grid"/>
    <w:basedOn w:val="Normaltabell"/>
    <w:uiPriority w:val="59"/>
    <w:rsid w:val="003C5B60"/>
    <w:pPr>
      <w:spacing w:after="200" w:line="276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E544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54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E544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E54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rsid w:val="00FE5442"/>
    <w:rPr>
      <w:rFonts w:asciiTheme="majorHAnsi" w:eastAsiaTheme="majorEastAsia" w:hAnsiTheme="majorHAnsi" w:cstheme="majorBidi"/>
      <w:color w:val="FF0000"/>
    </w:rPr>
  </w:style>
  <w:style w:type="character" w:customStyle="1" w:styleId="Rubrik6Char">
    <w:name w:val="Rubrik 6 Char"/>
    <w:basedOn w:val="Standardstycketeckensnitt"/>
    <w:link w:val="Rubrik6"/>
    <w:uiPriority w:val="9"/>
    <w:rsid w:val="00FE5442"/>
    <w:rPr>
      <w:rFonts w:asciiTheme="majorHAnsi" w:eastAsiaTheme="majorEastAsia" w:hAnsiTheme="majorHAnsi" w:cstheme="majorBidi"/>
      <w:color w:val="C00000"/>
    </w:rPr>
  </w:style>
  <w:style w:type="paragraph" w:customStyle="1" w:styleId="Default">
    <w:name w:val="Default"/>
    <w:rsid w:val="00CF2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05B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et\IT%20&amp;%20Data\Mallar\KoHF_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KoHF_2020</Template>
  <TotalTime>70</TotalTime>
  <Pages>2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Melvås</dc:creator>
  <cp:keywords/>
  <dc:description/>
  <cp:lastModifiedBy>Anna Melvås</cp:lastModifiedBy>
  <cp:revision>7</cp:revision>
  <cp:lastPrinted>2017-01-27T08:36:00Z</cp:lastPrinted>
  <dcterms:created xsi:type="dcterms:W3CDTF">2020-08-31T08:50:00Z</dcterms:created>
  <dcterms:modified xsi:type="dcterms:W3CDTF">2020-08-31T11:37:00Z</dcterms:modified>
</cp:coreProperties>
</file>